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B3B" w:rsidRPr="007414A5" w:rsidRDefault="00E819F3" w:rsidP="00C25ACC">
      <w:pPr>
        <w:rPr>
          <w:rtl/>
        </w:rPr>
      </w:pPr>
      <w:r w:rsidRPr="007414A5">
        <w:rPr>
          <w:rFonts w:hint="cs"/>
          <w:rtl/>
        </w:rPr>
        <w:t xml:space="preserve">با توجه به </w:t>
      </w:r>
      <w:r w:rsidR="00A73B3B" w:rsidRPr="007414A5">
        <w:rPr>
          <w:rFonts w:hint="cs"/>
          <w:rtl/>
        </w:rPr>
        <w:t xml:space="preserve">بررسي </w:t>
      </w:r>
      <w:r w:rsidR="00EB4331" w:rsidRPr="007414A5">
        <w:rPr>
          <w:rFonts w:hint="cs"/>
          <w:rtl/>
        </w:rPr>
        <w:t xml:space="preserve">احراز </w:t>
      </w:r>
      <w:r w:rsidR="00A73B3B" w:rsidRPr="007414A5">
        <w:rPr>
          <w:rFonts w:hint="cs"/>
          <w:rtl/>
        </w:rPr>
        <w:t xml:space="preserve">شرايط پذيرش </w:t>
      </w:r>
      <w:r w:rsidR="00EB4331" w:rsidRPr="007414A5">
        <w:rPr>
          <w:rFonts w:hint="cs"/>
          <w:rtl/>
        </w:rPr>
        <w:t xml:space="preserve">سهام </w:t>
      </w:r>
      <w:r w:rsidR="00A73B3B" w:rsidRPr="007414A5">
        <w:rPr>
          <w:rFonts w:hint="cs"/>
          <w:rtl/>
        </w:rPr>
        <w:t xml:space="preserve">شركت </w:t>
      </w:r>
      <w:r w:rsidRPr="00522768">
        <w:rPr>
          <w:rFonts w:hint="cs"/>
          <w:rtl/>
        </w:rPr>
        <w:t>***</w:t>
      </w:r>
      <w:r w:rsidR="00EB4331" w:rsidRPr="007414A5">
        <w:rPr>
          <w:rFonts w:hint="cs"/>
          <w:rtl/>
        </w:rPr>
        <w:t xml:space="preserve"> </w:t>
      </w:r>
      <w:r w:rsidR="00A73B3B" w:rsidRPr="007414A5">
        <w:rPr>
          <w:rFonts w:hint="cs"/>
          <w:rtl/>
        </w:rPr>
        <w:t xml:space="preserve">در </w:t>
      </w:r>
      <w:r w:rsidR="00EB4331" w:rsidRPr="007414A5">
        <w:rPr>
          <w:rFonts w:hint="cs"/>
          <w:rtl/>
        </w:rPr>
        <w:t>بازار</w:t>
      </w:r>
      <w:r w:rsidRPr="00522768">
        <w:rPr>
          <w:rFonts w:hint="cs"/>
          <w:rtl/>
        </w:rPr>
        <w:t>***</w:t>
      </w:r>
      <w:r w:rsidR="00EB4331" w:rsidRPr="007414A5">
        <w:rPr>
          <w:rFonts w:hint="cs"/>
          <w:color w:val="FF0000"/>
          <w:rtl/>
        </w:rPr>
        <w:t xml:space="preserve"> </w:t>
      </w:r>
      <w:r w:rsidR="00A73B3B" w:rsidRPr="007414A5">
        <w:rPr>
          <w:rFonts w:hint="cs"/>
          <w:rtl/>
        </w:rPr>
        <w:t>بورس</w:t>
      </w:r>
      <w:r w:rsidR="00EB4331" w:rsidRPr="007414A5">
        <w:rPr>
          <w:rFonts w:hint="cs"/>
          <w:rtl/>
        </w:rPr>
        <w:t xml:space="preserve"> اوراق بهادار تهران</w:t>
      </w:r>
      <w:r w:rsidR="00A73B3B" w:rsidRPr="007414A5">
        <w:rPr>
          <w:rFonts w:hint="cs"/>
          <w:rtl/>
        </w:rPr>
        <w:t xml:space="preserve">، در انطباق با </w:t>
      </w:r>
      <w:r w:rsidR="00EB4331" w:rsidRPr="007414A5">
        <w:rPr>
          <w:rFonts w:hint="cs"/>
          <w:rtl/>
        </w:rPr>
        <w:t>مفاد دستورالعمل پ</w:t>
      </w:r>
      <w:r w:rsidR="00A73B3B" w:rsidRPr="007414A5">
        <w:rPr>
          <w:rFonts w:hint="cs"/>
          <w:rtl/>
        </w:rPr>
        <w:t xml:space="preserve">ذيرش سهام در بورس اوراق بهادار، </w:t>
      </w:r>
      <w:r w:rsidR="00FC7E87" w:rsidRPr="007414A5">
        <w:t>)</w:t>
      </w:r>
      <w:r w:rsidR="00EB4331" w:rsidRPr="007414A5">
        <w:rPr>
          <w:rFonts w:hint="cs"/>
          <w:rtl/>
        </w:rPr>
        <w:t xml:space="preserve">اصلاحيه‌ي </w:t>
      </w:r>
      <w:r w:rsidR="00A73B3B" w:rsidRPr="007414A5">
        <w:rPr>
          <w:rFonts w:hint="cs"/>
          <w:rtl/>
        </w:rPr>
        <w:t xml:space="preserve">مصوب </w:t>
      </w:r>
      <w:r w:rsidR="00E00E9E" w:rsidRPr="007414A5">
        <w:rPr>
          <w:rFonts w:hint="cs"/>
          <w:rtl/>
        </w:rPr>
        <w:t>15</w:t>
      </w:r>
      <w:r w:rsidR="00EB4331" w:rsidRPr="007414A5">
        <w:rPr>
          <w:rFonts w:hint="cs"/>
          <w:rtl/>
        </w:rPr>
        <w:t>/</w:t>
      </w:r>
      <w:r w:rsidR="00E00E9E" w:rsidRPr="007414A5">
        <w:rPr>
          <w:rFonts w:hint="cs"/>
          <w:rtl/>
        </w:rPr>
        <w:t>05</w:t>
      </w:r>
      <w:r w:rsidR="00EB4331" w:rsidRPr="007414A5">
        <w:rPr>
          <w:rFonts w:hint="cs"/>
          <w:rtl/>
        </w:rPr>
        <w:t>/1390)</w:t>
      </w:r>
      <w:r w:rsidR="00A73B3B" w:rsidRPr="007414A5">
        <w:rPr>
          <w:rFonts w:hint="cs"/>
          <w:rtl/>
        </w:rPr>
        <w:t xml:space="preserve"> به</w:t>
      </w:r>
      <w:r w:rsidR="00A73B3B" w:rsidRPr="007414A5">
        <w:rPr>
          <w:rFonts w:hint="eastAsia"/>
          <w:rtl/>
        </w:rPr>
        <w:t xml:space="preserve">‌شرح زير </w:t>
      </w:r>
      <w:r w:rsidR="00A73B3B" w:rsidRPr="007414A5">
        <w:rPr>
          <w:rFonts w:hint="cs"/>
          <w:rtl/>
        </w:rPr>
        <w:t>انجام شده است:</w:t>
      </w:r>
    </w:p>
    <w:p w:rsidR="00A73B3B" w:rsidRPr="00EA4B8C" w:rsidRDefault="00A73B3B" w:rsidP="00C25ACC">
      <w:pPr>
        <w:rPr>
          <w:rtl/>
        </w:rPr>
      </w:pPr>
    </w:p>
    <w:tbl>
      <w:tblPr>
        <w:bidiVisual/>
        <w:tblW w:w="10206" w:type="dxa"/>
        <w:jc w:val="center"/>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
        <w:gridCol w:w="3550"/>
        <w:gridCol w:w="2912"/>
        <w:gridCol w:w="1057"/>
        <w:gridCol w:w="1013"/>
        <w:gridCol w:w="973"/>
      </w:tblGrid>
      <w:tr w:rsidR="00DB2A70" w:rsidRPr="00646F07" w:rsidTr="00705A79">
        <w:trPr>
          <w:jc w:val="center"/>
        </w:trPr>
        <w:tc>
          <w:tcPr>
            <w:tcW w:w="701" w:type="dxa"/>
            <w:shd w:val="clear" w:color="auto" w:fill="E5B8B7" w:themeFill="accent2" w:themeFillTint="66"/>
          </w:tcPr>
          <w:p w:rsidR="00DB2A70" w:rsidRPr="007414A5" w:rsidRDefault="00DB2A70" w:rsidP="00C25ACC">
            <w:pPr>
              <w:rPr>
                <w:rtl/>
              </w:rPr>
            </w:pPr>
          </w:p>
        </w:tc>
        <w:tc>
          <w:tcPr>
            <w:tcW w:w="9505" w:type="dxa"/>
            <w:gridSpan w:val="5"/>
            <w:shd w:val="clear" w:color="auto" w:fill="E5B8B7" w:themeFill="accent2" w:themeFillTint="66"/>
            <w:vAlign w:val="center"/>
          </w:tcPr>
          <w:p w:rsidR="00DB2A70" w:rsidRPr="007414A5" w:rsidRDefault="00DB2A70" w:rsidP="00C25ACC">
            <w:pPr>
              <w:rPr>
                <w:rtl/>
              </w:rPr>
            </w:pPr>
            <w:r w:rsidRPr="007414A5">
              <w:rPr>
                <w:rFonts w:hint="cs"/>
                <w:rtl/>
              </w:rPr>
              <w:t>شرایط عمومی</w:t>
            </w:r>
          </w:p>
        </w:tc>
      </w:tr>
      <w:tr w:rsidR="00DB2A70" w:rsidRPr="006116DE" w:rsidTr="00705A79">
        <w:trPr>
          <w:jc w:val="center"/>
        </w:trPr>
        <w:tc>
          <w:tcPr>
            <w:tcW w:w="701" w:type="dxa"/>
            <w:vAlign w:val="center"/>
          </w:tcPr>
          <w:p w:rsidR="00DB2A70" w:rsidRPr="007414A5" w:rsidRDefault="00DB2A70" w:rsidP="00C25ACC">
            <w:pPr>
              <w:rPr>
                <w:rtl/>
              </w:rPr>
            </w:pPr>
            <w:r w:rsidRPr="007414A5">
              <w:rPr>
                <w:rFonts w:hint="cs"/>
                <w:rtl/>
              </w:rPr>
              <w:t>1</w:t>
            </w:r>
          </w:p>
        </w:tc>
        <w:tc>
          <w:tcPr>
            <w:tcW w:w="7519" w:type="dxa"/>
            <w:gridSpan w:val="3"/>
            <w:vAlign w:val="center"/>
          </w:tcPr>
          <w:p w:rsidR="00DB2A70" w:rsidRPr="005717CD" w:rsidRDefault="00DB2A70" w:rsidP="00C25ACC">
            <w:r w:rsidRPr="007414A5">
              <w:rPr>
                <w:rFonts w:hint="cs"/>
                <w:rtl/>
              </w:rPr>
              <w:t>نزد سازمان ثبت شده باشد.</w:t>
            </w:r>
          </w:p>
        </w:tc>
        <w:tc>
          <w:tcPr>
            <w:tcW w:w="1013" w:type="dxa"/>
            <w:vAlign w:val="center"/>
          </w:tcPr>
          <w:p w:rsidR="00DB2A70" w:rsidRPr="00BB34BF" w:rsidRDefault="00DB2A70" w:rsidP="00C25ACC">
            <w:pPr>
              <w:rPr>
                <w:rtl/>
              </w:rPr>
            </w:pPr>
            <w:r w:rsidRPr="005717CD">
              <w:rPr>
                <w:rFonts w:hint="cs"/>
              </w:rPr>
              <w:sym w:font="Wingdings" w:char="F0FB"/>
            </w:r>
          </w:p>
        </w:tc>
        <w:tc>
          <w:tcPr>
            <w:tcW w:w="973" w:type="dxa"/>
            <w:vAlign w:val="center"/>
          </w:tcPr>
          <w:p w:rsidR="00DB2A70" w:rsidRPr="00BB34BF" w:rsidRDefault="00DB2A70" w:rsidP="00C25ACC">
            <w:pPr>
              <w:rPr>
                <w:rtl/>
              </w:rPr>
            </w:pPr>
            <w:r>
              <w:rPr>
                <w:rFonts w:hint="cs"/>
                <w:rtl/>
              </w:rPr>
              <w:t>(1)</w:t>
            </w:r>
          </w:p>
        </w:tc>
      </w:tr>
      <w:tr w:rsidR="00705A79" w:rsidRPr="006116DE" w:rsidTr="00705A79">
        <w:trPr>
          <w:jc w:val="center"/>
        </w:trPr>
        <w:tc>
          <w:tcPr>
            <w:tcW w:w="701" w:type="dxa"/>
            <w:vAlign w:val="center"/>
          </w:tcPr>
          <w:p w:rsidR="00705A79" w:rsidRPr="007414A5" w:rsidRDefault="00BC45C4" w:rsidP="00C25ACC">
            <w:pPr>
              <w:rPr>
                <w:rtl/>
              </w:rPr>
            </w:pPr>
            <w:r>
              <w:rPr>
                <w:rFonts w:hint="cs"/>
                <w:rtl/>
              </w:rPr>
              <w:t>2</w:t>
            </w:r>
          </w:p>
        </w:tc>
        <w:tc>
          <w:tcPr>
            <w:tcW w:w="7519" w:type="dxa"/>
            <w:gridSpan w:val="3"/>
            <w:vAlign w:val="center"/>
          </w:tcPr>
          <w:p w:rsidR="00705A79" w:rsidRPr="007414A5" w:rsidRDefault="00C25ACC" w:rsidP="00C25ACC">
            <w:pPr>
              <w:rPr>
                <w:rtl/>
              </w:rPr>
            </w:pPr>
            <w:r w:rsidRPr="007414A5">
              <w:rPr>
                <w:rFonts w:hint="cs"/>
                <w:rtl/>
              </w:rPr>
              <w:t>اساسنامه</w:t>
            </w:r>
            <w:r w:rsidRPr="007414A5">
              <w:rPr>
                <w:rFonts w:hint="eastAsia"/>
                <w:rtl/>
              </w:rPr>
              <w:t>‌</w:t>
            </w:r>
            <w:r w:rsidRPr="007414A5">
              <w:rPr>
                <w:rFonts w:hint="cs"/>
                <w:rtl/>
              </w:rPr>
              <w:t>ی متقاضی باید منطبق با اساسنامه</w:t>
            </w:r>
            <w:r w:rsidRPr="007414A5">
              <w:rPr>
                <w:rFonts w:hint="eastAsia"/>
                <w:rtl/>
              </w:rPr>
              <w:t>‌ی</w:t>
            </w:r>
            <w:r w:rsidRPr="007414A5">
              <w:rPr>
                <w:rFonts w:hint="cs"/>
                <w:rtl/>
              </w:rPr>
              <w:t xml:space="preserve"> نمونه</w:t>
            </w:r>
            <w:r w:rsidRPr="007414A5">
              <w:rPr>
                <w:rFonts w:hint="eastAsia"/>
                <w:rtl/>
              </w:rPr>
              <w:t>‌ی</w:t>
            </w:r>
            <w:r w:rsidRPr="007414A5">
              <w:rPr>
                <w:rFonts w:hint="cs"/>
                <w:rtl/>
              </w:rPr>
              <w:t xml:space="preserve"> مصوب هیئت مدیره</w:t>
            </w:r>
            <w:r w:rsidRPr="007414A5">
              <w:rPr>
                <w:rFonts w:hint="eastAsia"/>
                <w:rtl/>
              </w:rPr>
              <w:t>‌ی</w:t>
            </w:r>
            <w:r w:rsidRPr="007414A5">
              <w:rPr>
                <w:rFonts w:hint="cs"/>
                <w:rtl/>
              </w:rPr>
              <w:t xml:space="preserve"> سازمان و الزامات و شرايط تعيين‌شده توسط سازمان و سایر مراجع ذی</w:t>
            </w:r>
            <w:r w:rsidRPr="007414A5">
              <w:rPr>
                <w:rFonts w:hint="eastAsia"/>
                <w:rtl/>
              </w:rPr>
              <w:t>‌</w:t>
            </w:r>
            <w:r w:rsidRPr="007414A5">
              <w:rPr>
                <w:rFonts w:hint="cs"/>
                <w:rtl/>
              </w:rPr>
              <w:t>صلاح، تدوين شده باشد</w:t>
            </w:r>
            <w:r>
              <w:rPr>
                <w:rFonts w:hint="cs"/>
                <w:rtl/>
              </w:rPr>
              <w:t>.</w:t>
            </w:r>
          </w:p>
        </w:tc>
        <w:tc>
          <w:tcPr>
            <w:tcW w:w="1013" w:type="dxa"/>
            <w:vAlign w:val="center"/>
          </w:tcPr>
          <w:p w:rsidR="00705A79" w:rsidRPr="005717CD" w:rsidRDefault="00053A74" w:rsidP="00C25ACC">
            <w:r w:rsidRPr="00BB34BF">
              <w:rPr>
                <w:rFonts w:hint="cs"/>
              </w:rPr>
              <w:sym w:font="Wingdings" w:char="F0FC"/>
            </w:r>
          </w:p>
        </w:tc>
        <w:tc>
          <w:tcPr>
            <w:tcW w:w="973" w:type="dxa"/>
            <w:vAlign w:val="center"/>
          </w:tcPr>
          <w:p w:rsidR="00705A79" w:rsidRDefault="00053A74" w:rsidP="00C25ACC">
            <w:pPr>
              <w:rPr>
                <w:rtl/>
              </w:rPr>
            </w:pPr>
            <w:r>
              <w:rPr>
                <w:rFonts w:hint="cs"/>
                <w:rtl/>
              </w:rPr>
              <w:t>(2)</w:t>
            </w:r>
          </w:p>
        </w:tc>
      </w:tr>
      <w:tr w:rsidR="00DB2A70" w:rsidRPr="006116DE" w:rsidTr="00705A79">
        <w:trPr>
          <w:jc w:val="center"/>
        </w:trPr>
        <w:tc>
          <w:tcPr>
            <w:tcW w:w="701" w:type="dxa"/>
            <w:vAlign w:val="center"/>
          </w:tcPr>
          <w:p w:rsidR="00DB2A70" w:rsidRPr="007414A5" w:rsidRDefault="00BC45C4" w:rsidP="00C25ACC">
            <w:pPr>
              <w:rPr>
                <w:rtl/>
              </w:rPr>
            </w:pPr>
            <w:r>
              <w:rPr>
                <w:rFonts w:hint="cs"/>
                <w:rtl/>
              </w:rPr>
              <w:t>3</w:t>
            </w:r>
          </w:p>
        </w:tc>
        <w:tc>
          <w:tcPr>
            <w:tcW w:w="7519" w:type="dxa"/>
            <w:gridSpan w:val="3"/>
            <w:vAlign w:val="center"/>
          </w:tcPr>
          <w:p w:rsidR="00DB2A70" w:rsidRPr="005717CD" w:rsidRDefault="00DB2A70" w:rsidP="00C25ACC">
            <w:r w:rsidRPr="007414A5">
              <w:rPr>
                <w:rFonts w:hint="cs"/>
                <w:rtl/>
              </w:rPr>
              <w:t>محدودیت قانونی مؤثر برای نقل و انتقال سهام یا اعمال حق رأی توسط صاحبان آن وجود نداشته باشد.</w:t>
            </w:r>
          </w:p>
        </w:tc>
        <w:tc>
          <w:tcPr>
            <w:tcW w:w="1013" w:type="dxa"/>
            <w:vAlign w:val="center"/>
          </w:tcPr>
          <w:p w:rsidR="00DB2A70" w:rsidRPr="008C1DE9" w:rsidRDefault="00DB2A70" w:rsidP="00C25ACC">
            <w:pPr>
              <w:rPr>
                <w:rFonts w:asciiTheme="minorHAnsi" w:hAnsiTheme="minorHAnsi"/>
                <w:lang w:val="en-US"/>
              </w:rPr>
            </w:pPr>
          </w:p>
        </w:tc>
        <w:tc>
          <w:tcPr>
            <w:tcW w:w="973" w:type="dxa"/>
            <w:vAlign w:val="center"/>
          </w:tcPr>
          <w:p w:rsidR="00DB2A70" w:rsidRPr="00BB34BF" w:rsidRDefault="00DB2A70" w:rsidP="00C25ACC">
            <w:pPr>
              <w:rPr>
                <w:rtl/>
              </w:rPr>
            </w:pPr>
          </w:p>
        </w:tc>
      </w:tr>
      <w:tr w:rsidR="00DB2A70" w:rsidRPr="006116DE" w:rsidTr="00705A79">
        <w:trPr>
          <w:jc w:val="center"/>
        </w:trPr>
        <w:tc>
          <w:tcPr>
            <w:tcW w:w="701" w:type="dxa"/>
            <w:vAlign w:val="center"/>
          </w:tcPr>
          <w:p w:rsidR="00DB2A70" w:rsidRPr="007414A5" w:rsidRDefault="00BC45C4" w:rsidP="00C25ACC">
            <w:pPr>
              <w:rPr>
                <w:rtl/>
              </w:rPr>
            </w:pPr>
            <w:r>
              <w:rPr>
                <w:rFonts w:hint="cs"/>
                <w:rtl/>
              </w:rPr>
              <w:t>4</w:t>
            </w:r>
          </w:p>
        </w:tc>
        <w:tc>
          <w:tcPr>
            <w:tcW w:w="7519" w:type="dxa"/>
            <w:gridSpan w:val="3"/>
            <w:vAlign w:val="center"/>
          </w:tcPr>
          <w:p w:rsidR="00DB2A70" w:rsidRPr="00BB34BF" w:rsidRDefault="00DB2A70" w:rsidP="00C25ACC">
            <w:r w:rsidRPr="007414A5">
              <w:rPr>
                <w:rFonts w:hint="cs"/>
                <w:rtl/>
              </w:rPr>
              <w:t>با نام و دارای حق رأی باشد.</w:t>
            </w:r>
          </w:p>
        </w:tc>
        <w:tc>
          <w:tcPr>
            <w:tcW w:w="1013" w:type="dxa"/>
            <w:vAlign w:val="center"/>
          </w:tcPr>
          <w:p w:rsidR="00DB2A70" w:rsidRPr="00053A74" w:rsidRDefault="00DB2A70" w:rsidP="00C25ACC">
            <w:pPr>
              <w:rPr>
                <w:rFonts w:asciiTheme="minorHAnsi" w:hAnsiTheme="minorHAnsi"/>
                <w:rtl/>
                <w:lang w:val="en-US"/>
              </w:rPr>
            </w:pPr>
          </w:p>
        </w:tc>
        <w:tc>
          <w:tcPr>
            <w:tcW w:w="973" w:type="dxa"/>
            <w:vAlign w:val="center"/>
          </w:tcPr>
          <w:p w:rsidR="00DB2A70" w:rsidRPr="00BB34BF" w:rsidRDefault="00DB2A70" w:rsidP="00C25ACC">
            <w:pPr>
              <w:rPr>
                <w:rtl/>
              </w:rPr>
            </w:pPr>
          </w:p>
        </w:tc>
      </w:tr>
      <w:tr w:rsidR="000F4CF9" w:rsidRPr="006116DE" w:rsidTr="00705A79">
        <w:trPr>
          <w:trHeight w:val="359"/>
          <w:jc w:val="center"/>
        </w:trPr>
        <w:tc>
          <w:tcPr>
            <w:tcW w:w="701" w:type="dxa"/>
            <w:vAlign w:val="center"/>
          </w:tcPr>
          <w:p w:rsidR="000F4CF9" w:rsidRDefault="00BC45C4" w:rsidP="00C25ACC">
            <w:pPr>
              <w:rPr>
                <w:rtl/>
              </w:rPr>
            </w:pPr>
            <w:r>
              <w:rPr>
                <w:rFonts w:hint="cs"/>
                <w:rtl/>
              </w:rPr>
              <w:t>5</w:t>
            </w:r>
          </w:p>
        </w:tc>
        <w:tc>
          <w:tcPr>
            <w:tcW w:w="7519" w:type="dxa"/>
            <w:gridSpan w:val="3"/>
            <w:vAlign w:val="center"/>
          </w:tcPr>
          <w:p w:rsidR="000F4CF9" w:rsidRDefault="000F4CF9" w:rsidP="00C25ACC">
            <w:pPr>
              <w:rPr>
                <w:rtl/>
              </w:rPr>
            </w:pPr>
            <w:r w:rsidRPr="007414A5">
              <w:rPr>
                <w:rFonts w:hint="cs"/>
                <w:rtl/>
              </w:rPr>
              <w:t>تمام سرمایه</w:t>
            </w:r>
            <w:r w:rsidRPr="007414A5">
              <w:rPr>
                <w:rFonts w:hint="eastAsia"/>
                <w:rtl/>
              </w:rPr>
              <w:t>‌ی</w:t>
            </w:r>
            <w:r w:rsidRPr="007414A5">
              <w:rPr>
                <w:rFonts w:hint="cs"/>
                <w:rtl/>
              </w:rPr>
              <w:t xml:space="preserve"> آن منقسم به سهام عادی بوده و امتیاز خاصی برای بعضی سهام‌داران در نظر گرفته نشده باشد.</w:t>
            </w:r>
          </w:p>
        </w:tc>
        <w:tc>
          <w:tcPr>
            <w:tcW w:w="1013" w:type="dxa"/>
            <w:vAlign w:val="center"/>
          </w:tcPr>
          <w:p w:rsidR="000F4CF9" w:rsidRPr="00BB34BF" w:rsidRDefault="000F4CF9" w:rsidP="00C25ACC"/>
        </w:tc>
        <w:tc>
          <w:tcPr>
            <w:tcW w:w="973" w:type="dxa"/>
            <w:vAlign w:val="center"/>
          </w:tcPr>
          <w:p w:rsidR="000F4CF9" w:rsidRPr="00BB34BF" w:rsidRDefault="000F4CF9" w:rsidP="00C25ACC">
            <w:pPr>
              <w:rPr>
                <w:rtl/>
              </w:rPr>
            </w:pPr>
          </w:p>
        </w:tc>
      </w:tr>
      <w:tr w:rsidR="00DB2A70" w:rsidRPr="006116DE" w:rsidTr="00705A79">
        <w:trPr>
          <w:trHeight w:val="359"/>
          <w:jc w:val="center"/>
        </w:trPr>
        <w:tc>
          <w:tcPr>
            <w:tcW w:w="701" w:type="dxa"/>
            <w:vAlign w:val="center"/>
          </w:tcPr>
          <w:p w:rsidR="00DB2A70" w:rsidRPr="007414A5" w:rsidRDefault="00BC45C4" w:rsidP="00C25ACC">
            <w:pPr>
              <w:rPr>
                <w:rtl/>
              </w:rPr>
            </w:pPr>
            <w:r>
              <w:rPr>
                <w:rFonts w:hint="cs"/>
                <w:rtl/>
              </w:rPr>
              <w:t>6</w:t>
            </w:r>
          </w:p>
        </w:tc>
        <w:tc>
          <w:tcPr>
            <w:tcW w:w="7519" w:type="dxa"/>
            <w:gridSpan w:val="3"/>
            <w:vAlign w:val="center"/>
          </w:tcPr>
          <w:p w:rsidR="00DB2A70" w:rsidRPr="00BB34BF" w:rsidRDefault="00DB2A70" w:rsidP="00C25ACC">
            <w:r>
              <w:rPr>
                <w:rFonts w:hint="cs"/>
                <w:rtl/>
              </w:rPr>
              <w:t>سهامي عام باشد.</w:t>
            </w:r>
          </w:p>
        </w:tc>
        <w:tc>
          <w:tcPr>
            <w:tcW w:w="1013" w:type="dxa"/>
            <w:vAlign w:val="center"/>
          </w:tcPr>
          <w:p w:rsidR="00DB2A70" w:rsidRPr="00BB34BF" w:rsidRDefault="00DB2A70" w:rsidP="00C25ACC"/>
        </w:tc>
        <w:tc>
          <w:tcPr>
            <w:tcW w:w="973" w:type="dxa"/>
            <w:vAlign w:val="center"/>
          </w:tcPr>
          <w:p w:rsidR="00DB2A70" w:rsidRPr="00BB34BF" w:rsidRDefault="00DB2A70" w:rsidP="00C25ACC">
            <w:pPr>
              <w:rPr>
                <w:rtl/>
              </w:rPr>
            </w:pPr>
          </w:p>
        </w:tc>
      </w:tr>
      <w:tr w:rsidR="00DB2A70" w:rsidRPr="006116DE" w:rsidTr="00705A79">
        <w:trPr>
          <w:jc w:val="center"/>
        </w:trPr>
        <w:tc>
          <w:tcPr>
            <w:tcW w:w="701" w:type="dxa"/>
            <w:vAlign w:val="center"/>
          </w:tcPr>
          <w:p w:rsidR="00DB2A70" w:rsidRPr="007414A5" w:rsidRDefault="00BC45C4" w:rsidP="00C25ACC">
            <w:pPr>
              <w:rPr>
                <w:rtl/>
              </w:rPr>
            </w:pPr>
            <w:r>
              <w:rPr>
                <w:rFonts w:hint="cs"/>
                <w:rtl/>
              </w:rPr>
              <w:t>7</w:t>
            </w:r>
          </w:p>
        </w:tc>
        <w:tc>
          <w:tcPr>
            <w:tcW w:w="7519" w:type="dxa"/>
            <w:gridSpan w:val="3"/>
            <w:vAlign w:val="center"/>
          </w:tcPr>
          <w:p w:rsidR="00DB2A70" w:rsidRPr="00BB34BF" w:rsidRDefault="00DB2A70" w:rsidP="00C25ACC">
            <w:r w:rsidRPr="007414A5">
              <w:rPr>
                <w:rFonts w:hint="cs"/>
                <w:rtl/>
              </w:rPr>
              <w:t>تمام بهای اسمی آن پرداخت شده باشد.</w:t>
            </w:r>
          </w:p>
        </w:tc>
        <w:tc>
          <w:tcPr>
            <w:tcW w:w="1013" w:type="dxa"/>
            <w:vAlign w:val="center"/>
          </w:tcPr>
          <w:p w:rsidR="00DB2A70" w:rsidRPr="00BB34BF" w:rsidRDefault="00DB2A70" w:rsidP="00C25ACC"/>
        </w:tc>
        <w:tc>
          <w:tcPr>
            <w:tcW w:w="973" w:type="dxa"/>
            <w:vAlign w:val="center"/>
          </w:tcPr>
          <w:p w:rsidR="00DB2A70" w:rsidRPr="00BB34BF" w:rsidRDefault="00DB2A70" w:rsidP="00C25ACC">
            <w:pPr>
              <w:rPr>
                <w:rtl/>
              </w:rPr>
            </w:pPr>
          </w:p>
        </w:tc>
      </w:tr>
      <w:tr w:rsidR="00705A79" w:rsidRPr="006116DE" w:rsidTr="00705A79">
        <w:trPr>
          <w:jc w:val="center"/>
        </w:trPr>
        <w:tc>
          <w:tcPr>
            <w:tcW w:w="701" w:type="dxa"/>
            <w:vAlign w:val="center"/>
          </w:tcPr>
          <w:p w:rsidR="00705A79" w:rsidRDefault="00BC45C4" w:rsidP="00C25ACC">
            <w:pPr>
              <w:rPr>
                <w:rtl/>
              </w:rPr>
            </w:pPr>
            <w:r>
              <w:rPr>
                <w:rFonts w:hint="cs"/>
                <w:rtl/>
              </w:rPr>
              <w:t>8</w:t>
            </w:r>
          </w:p>
        </w:tc>
        <w:tc>
          <w:tcPr>
            <w:tcW w:w="7519" w:type="dxa"/>
            <w:gridSpan w:val="3"/>
            <w:vAlign w:val="center"/>
          </w:tcPr>
          <w:p w:rsidR="00705A79" w:rsidRPr="007414A5" w:rsidRDefault="00C25ACC" w:rsidP="00C25ACC">
            <w:pPr>
              <w:rPr>
                <w:rtl/>
              </w:rPr>
            </w:pPr>
            <w:r w:rsidRPr="007414A5">
              <w:rPr>
                <w:rtl/>
              </w:rPr>
              <w:t xml:space="preserve">سود عملیاتی شرکت در دو دوره‌ی مالی منتهی به پذیرش از کیفیت بالایی برخوردار بوده و مجموع جریان خالص وجه نقد ناشی از فعالیت‌های عملیاتی آن طی این دوره‌ها مثبت باشد. </w:t>
            </w:r>
            <w:r w:rsidR="009F4509">
              <w:rPr>
                <w:rFonts w:hint="cs"/>
                <w:rtl/>
              </w:rPr>
              <w:t>(‌جريان خالص وجه نقد ناشي از فعاليتهاي عملياتي: ***)</w:t>
            </w:r>
          </w:p>
        </w:tc>
        <w:tc>
          <w:tcPr>
            <w:tcW w:w="1013" w:type="dxa"/>
            <w:vAlign w:val="center"/>
          </w:tcPr>
          <w:p w:rsidR="00705A79" w:rsidRPr="00BB34BF" w:rsidRDefault="00705A79" w:rsidP="00C25ACC"/>
        </w:tc>
        <w:tc>
          <w:tcPr>
            <w:tcW w:w="973" w:type="dxa"/>
            <w:vAlign w:val="center"/>
          </w:tcPr>
          <w:p w:rsidR="00705A79" w:rsidRPr="00BB34BF" w:rsidRDefault="00705A79" w:rsidP="00C25ACC">
            <w:pPr>
              <w:rPr>
                <w:rtl/>
              </w:rPr>
            </w:pPr>
          </w:p>
        </w:tc>
      </w:tr>
      <w:tr w:rsidR="009F4509" w:rsidRPr="006116DE" w:rsidTr="00705A79">
        <w:trPr>
          <w:jc w:val="center"/>
        </w:trPr>
        <w:tc>
          <w:tcPr>
            <w:tcW w:w="701" w:type="dxa"/>
            <w:vAlign w:val="center"/>
          </w:tcPr>
          <w:p w:rsidR="009F4509" w:rsidRDefault="00BC45C4" w:rsidP="00C25ACC">
            <w:pPr>
              <w:rPr>
                <w:rtl/>
              </w:rPr>
            </w:pPr>
            <w:r>
              <w:rPr>
                <w:rFonts w:hint="cs"/>
                <w:rtl/>
              </w:rPr>
              <w:t>9</w:t>
            </w:r>
          </w:p>
        </w:tc>
        <w:tc>
          <w:tcPr>
            <w:tcW w:w="7519" w:type="dxa"/>
            <w:gridSpan w:val="3"/>
            <w:vAlign w:val="center"/>
          </w:tcPr>
          <w:p w:rsidR="009F4509" w:rsidRDefault="00BC45C4" w:rsidP="007C1EB4">
            <w:pPr>
              <w:rPr>
                <w:rtl/>
              </w:rPr>
            </w:pPr>
            <w:r w:rsidRPr="007414A5">
              <w:rPr>
                <w:rFonts w:hint="cs"/>
                <w:rtl/>
              </w:rPr>
              <w:t>گزارش حسابرس در مورد صورت‌هاي مالي دو دوره‌ی مالی منتهی به پذیرش، عدم اظهارنظر يا اظهارنظر مردود نباشد. در صورت اظهارنظر مشروط حسابرس، بندهاي شرط ناشي از عدم انجام تعديلات قابل توجه در درآمدها، هزینه‌ها، سود، زيان</w:t>
            </w:r>
            <w:r>
              <w:rPr>
                <w:rFonts w:hint="cs"/>
                <w:rtl/>
              </w:rPr>
              <w:t>، بدهي‌ها و تعهدات متقاضي نباشد</w:t>
            </w:r>
            <w:r w:rsidR="009F4509">
              <w:rPr>
                <w:rFonts w:hint="cs"/>
                <w:rtl/>
              </w:rPr>
              <w:t>. ( نام حسابرس:*** اظهارنظر حسابرس: ***)</w:t>
            </w:r>
          </w:p>
        </w:tc>
        <w:tc>
          <w:tcPr>
            <w:tcW w:w="1013" w:type="dxa"/>
            <w:vAlign w:val="center"/>
          </w:tcPr>
          <w:p w:rsidR="009F4509" w:rsidRPr="00BB34BF" w:rsidRDefault="009F4509" w:rsidP="00C25ACC"/>
        </w:tc>
        <w:tc>
          <w:tcPr>
            <w:tcW w:w="973" w:type="dxa"/>
            <w:vAlign w:val="center"/>
          </w:tcPr>
          <w:p w:rsidR="009F4509" w:rsidRPr="00BB34BF" w:rsidRDefault="009F4509" w:rsidP="00C25ACC">
            <w:pPr>
              <w:rPr>
                <w:rtl/>
              </w:rPr>
            </w:pPr>
          </w:p>
        </w:tc>
      </w:tr>
      <w:tr w:rsidR="00BC45C4" w:rsidRPr="006116DE" w:rsidTr="00705A79">
        <w:trPr>
          <w:jc w:val="center"/>
        </w:trPr>
        <w:tc>
          <w:tcPr>
            <w:tcW w:w="701" w:type="dxa"/>
            <w:vAlign w:val="center"/>
          </w:tcPr>
          <w:p w:rsidR="00BC45C4" w:rsidRDefault="00BC45C4" w:rsidP="00C25ACC">
            <w:pPr>
              <w:rPr>
                <w:rtl/>
              </w:rPr>
            </w:pPr>
            <w:r>
              <w:rPr>
                <w:rFonts w:hint="cs"/>
                <w:rtl/>
              </w:rPr>
              <w:t>10</w:t>
            </w:r>
          </w:p>
        </w:tc>
        <w:tc>
          <w:tcPr>
            <w:tcW w:w="7519" w:type="dxa"/>
            <w:gridSpan w:val="3"/>
            <w:vAlign w:val="center"/>
          </w:tcPr>
          <w:p w:rsidR="00BC45C4" w:rsidRPr="007414A5" w:rsidRDefault="00BC45C4" w:rsidP="00C25ACC">
            <w:pPr>
              <w:rPr>
                <w:rtl/>
              </w:rPr>
            </w:pPr>
            <w:r w:rsidRPr="007414A5">
              <w:rPr>
                <w:rFonts w:hint="cs"/>
                <w:rtl/>
              </w:rPr>
              <w:t>دعاوي حقوقی له یا علیه شرکت، داراي اثر با اهميت بر صورت‌هاي مالي، وجود نداشته باشد.</w:t>
            </w:r>
          </w:p>
        </w:tc>
        <w:tc>
          <w:tcPr>
            <w:tcW w:w="1013" w:type="dxa"/>
            <w:vAlign w:val="center"/>
          </w:tcPr>
          <w:p w:rsidR="00BC45C4" w:rsidRPr="00BB34BF" w:rsidRDefault="00BC45C4" w:rsidP="00C25ACC"/>
        </w:tc>
        <w:tc>
          <w:tcPr>
            <w:tcW w:w="973" w:type="dxa"/>
            <w:vAlign w:val="center"/>
          </w:tcPr>
          <w:p w:rsidR="00BC45C4" w:rsidRPr="00BB34BF" w:rsidRDefault="00BC45C4" w:rsidP="00C25ACC">
            <w:pPr>
              <w:rPr>
                <w:rtl/>
              </w:rPr>
            </w:pPr>
          </w:p>
        </w:tc>
      </w:tr>
      <w:tr w:rsidR="00BC45C4" w:rsidRPr="006116DE" w:rsidTr="00705A79">
        <w:trPr>
          <w:jc w:val="center"/>
        </w:trPr>
        <w:tc>
          <w:tcPr>
            <w:tcW w:w="701" w:type="dxa"/>
            <w:vAlign w:val="center"/>
          </w:tcPr>
          <w:p w:rsidR="00BC45C4" w:rsidRDefault="00BC45C4" w:rsidP="00C25ACC">
            <w:pPr>
              <w:rPr>
                <w:rtl/>
              </w:rPr>
            </w:pPr>
            <w:r>
              <w:rPr>
                <w:rFonts w:hint="cs"/>
                <w:rtl/>
              </w:rPr>
              <w:t>11</w:t>
            </w:r>
          </w:p>
        </w:tc>
        <w:tc>
          <w:tcPr>
            <w:tcW w:w="7519" w:type="dxa"/>
            <w:gridSpan w:val="3"/>
            <w:vAlign w:val="center"/>
          </w:tcPr>
          <w:p w:rsidR="00BC45C4" w:rsidRPr="007414A5" w:rsidRDefault="00BC45C4" w:rsidP="00C25ACC">
            <w:pPr>
              <w:rPr>
                <w:rtl/>
              </w:rPr>
            </w:pPr>
            <w:r w:rsidRPr="007414A5">
              <w:rPr>
                <w:rFonts w:hint="cs"/>
                <w:rtl/>
              </w:rPr>
              <w:t>به تأیید حسابرس، از سیستم اطلاعات حسابداري (از جمله حسابداری مالی و حسابداری بهای تمام شده) مطلوب و متناسب با فعالیت خود و شرایط پذیرش در بورس (از جمله توانایی تهیه و افشای اطلاعات مالی به موقع و قابل اتکاء) برخوردار باشد.</w:t>
            </w:r>
          </w:p>
        </w:tc>
        <w:tc>
          <w:tcPr>
            <w:tcW w:w="1013" w:type="dxa"/>
            <w:vAlign w:val="center"/>
          </w:tcPr>
          <w:p w:rsidR="00BC45C4" w:rsidRPr="00BB34BF" w:rsidRDefault="00BC45C4" w:rsidP="00C25ACC"/>
        </w:tc>
        <w:tc>
          <w:tcPr>
            <w:tcW w:w="973" w:type="dxa"/>
            <w:vAlign w:val="center"/>
          </w:tcPr>
          <w:p w:rsidR="00BC45C4" w:rsidRPr="00BB34BF" w:rsidRDefault="00BC45C4" w:rsidP="00C25ACC">
            <w:pPr>
              <w:rPr>
                <w:rtl/>
              </w:rPr>
            </w:pPr>
          </w:p>
        </w:tc>
      </w:tr>
      <w:tr w:rsidR="007C1EB4" w:rsidRPr="006116DE" w:rsidTr="00705A79">
        <w:trPr>
          <w:jc w:val="center"/>
        </w:trPr>
        <w:tc>
          <w:tcPr>
            <w:tcW w:w="701" w:type="dxa"/>
            <w:vAlign w:val="center"/>
          </w:tcPr>
          <w:p w:rsidR="007C1EB4" w:rsidRDefault="00053A74" w:rsidP="00C25ACC">
            <w:pPr>
              <w:rPr>
                <w:rtl/>
              </w:rPr>
            </w:pPr>
            <w:r>
              <w:rPr>
                <w:rFonts w:hint="cs"/>
                <w:rtl/>
              </w:rPr>
              <w:t>12</w:t>
            </w:r>
          </w:p>
        </w:tc>
        <w:tc>
          <w:tcPr>
            <w:tcW w:w="7519" w:type="dxa"/>
            <w:gridSpan w:val="3"/>
            <w:vAlign w:val="center"/>
          </w:tcPr>
          <w:p w:rsidR="007C1EB4" w:rsidRPr="007414A5" w:rsidRDefault="007C1EB4" w:rsidP="007C1EB4">
            <w:pPr>
              <w:rPr>
                <w:rtl/>
              </w:rPr>
            </w:pPr>
            <w:r>
              <w:rPr>
                <w:rFonts w:hint="cs"/>
                <w:rtl/>
              </w:rPr>
              <w:t>اعضاي هيئت مديره و مديرعامل داراي سوابق محكوميت نباشند.</w:t>
            </w:r>
          </w:p>
        </w:tc>
        <w:tc>
          <w:tcPr>
            <w:tcW w:w="1013" w:type="dxa"/>
            <w:vAlign w:val="center"/>
          </w:tcPr>
          <w:p w:rsidR="007C1EB4" w:rsidRPr="00BB34BF" w:rsidRDefault="007C1EB4" w:rsidP="00C25ACC"/>
        </w:tc>
        <w:tc>
          <w:tcPr>
            <w:tcW w:w="973" w:type="dxa"/>
            <w:vAlign w:val="center"/>
          </w:tcPr>
          <w:p w:rsidR="007C1EB4" w:rsidRPr="00BB34BF" w:rsidRDefault="007C1EB4" w:rsidP="00C25ACC">
            <w:pPr>
              <w:rPr>
                <w:rtl/>
              </w:rPr>
            </w:pPr>
          </w:p>
        </w:tc>
      </w:tr>
      <w:tr w:rsidR="00D0245F" w:rsidRPr="006116DE" w:rsidTr="00705A79">
        <w:trPr>
          <w:jc w:val="center"/>
        </w:trPr>
        <w:tc>
          <w:tcPr>
            <w:tcW w:w="701" w:type="dxa"/>
            <w:vAlign w:val="center"/>
          </w:tcPr>
          <w:p w:rsidR="00D0245F" w:rsidRDefault="00053A74" w:rsidP="00C25ACC">
            <w:pPr>
              <w:rPr>
                <w:rtl/>
              </w:rPr>
            </w:pPr>
            <w:r>
              <w:rPr>
                <w:rFonts w:hint="cs"/>
                <w:rtl/>
              </w:rPr>
              <w:t>13</w:t>
            </w:r>
          </w:p>
        </w:tc>
        <w:tc>
          <w:tcPr>
            <w:tcW w:w="7519" w:type="dxa"/>
            <w:gridSpan w:val="3"/>
            <w:vAlign w:val="center"/>
          </w:tcPr>
          <w:p w:rsidR="00D0245F" w:rsidRDefault="00D0245F" w:rsidP="007C1EB4">
            <w:pPr>
              <w:rPr>
                <w:rtl/>
              </w:rPr>
            </w:pPr>
            <w:r w:rsidRPr="007414A5">
              <w:rPr>
                <w:rFonts w:hint="cs"/>
                <w:rtl/>
              </w:rPr>
              <w:t>زیان انباشته نداشته باشد.</w:t>
            </w:r>
            <w:r w:rsidR="00BA20A5">
              <w:rPr>
                <w:rFonts w:hint="cs"/>
                <w:rtl/>
              </w:rPr>
              <w:t xml:space="preserve"> ( سود انباشته آخرين سال مالي- ميليون ريال): ***</w:t>
            </w:r>
          </w:p>
        </w:tc>
        <w:tc>
          <w:tcPr>
            <w:tcW w:w="1013" w:type="dxa"/>
            <w:vAlign w:val="center"/>
          </w:tcPr>
          <w:p w:rsidR="00D0245F" w:rsidRPr="00BB34BF" w:rsidRDefault="00D0245F" w:rsidP="00C25ACC"/>
        </w:tc>
        <w:tc>
          <w:tcPr>
            <w:tcW w:w="973" w:type="dxa"/>
            <w:vAlign w:val="center"/>
          </w:tcPr>
          <w:p w:rsidR="00D0245F" w:rsidRPr="00BB34BF" w:rsidRDefault="00D0245F" w:rsidP="00C25ACC">
            <w:pPr>
              <w:rPr>
                <w:rtl/>
              </w:rPr>
            </w:pPr>
          </w:p>
        </w:tc>
      </w:tr>
      <w:tr w:rsidR="00DB2A70" w:rsidRPr="006116DE" w:rsidTr="00705A79">
        <w:trPr>
          <w:jc w:val="center"/>
        </w:trPr>
        <w:tc>
          <w:tcPr>
            <w:tcW w:w="701" w:type="dxa"/>
            <w:shd w:val="clear" w:color="auto" w:fill="E5B8B7" w:themeFill="accent2" w:themeFillTint="66"/>
          </w:tcPr>
          <w:p w:rsidR="00DB2A70" w:rsidRPr="007414A5" w:rsidRDefault="00DB2A70" w:rsidP="00C25ACC">
            <w:pPr>
              <w:rPr>
                <w:rtl/>
              </w:rPr>
            </w:pPr>
          </w:p>
        </w:tc>
        <w:tc>
          <w:tcPr>
            <w:tcW w:w="9505" w:type="dxa"/>
            <w:gridSpan w:val="5"/>
            <w:shd w:val="clear" w:color="auto" w:fill="E5B8B7" w:themeFill="accent2" w:themeFillTint="66"/>
            <w:vAlign w:val="center"/>
          </w:tcPr>
          <w:p w:rsidR="00DB2A70" w:rsidRPr="007414A5" w:rsidRDefault="00DB2A70" w:rsidP="00C25ACC">
            <w:pPr>
              <w:rPr>
                <w:rtl/>
              </w:rPr>
            </w:pPr>
            <w:r w:rsidRPr="007414A5">
              <w:rPr>
                <w:rFonts w:hint="cs"/>
                <w:rtl/>
              </w:rPr>
              <w:t xml:space="preserve">شرایط خاص بازار </w:t>
            </w:r>
            <w:r>
              <w:rPr>
                <w:rFonts w:hint="cs"/>
                <w:rtl/>
              </w:rPr>
              <w:t>ها</w:t>
            </w:r>
          </w:p>
        </w:tc>
      </w:tr>
      <w:tr w:rsidR="00BC45C4" w:rsidRPr="006116DE" w:rsidTr="00663F7F">
        <w:trPr>
          <w:jc w:val="center"/>
        </w:trPr>
        <w:tc>
          <w:tcPr>
            <w:tcW w:w="7163" w:type="dxa"/>
            <w:gridSpan w:val="3"/>
            <w:vMerge w:val="restart"/>
            <w:vAlign w:val="center"/>
          </w:tcPr>
          <w:p w:rsidR="00BC45C4" w:rsidRPr="007414A5" w:rsidRDefault="00BC45C4" w:rsidP="00C25ACC">
            <w:pPr>
              <w:rPr>
                <w:rtl/>
              </w:rPr>
            </w:pPr>
          </w:p>
        </w:tc>
        <w:tc>
          <w:tcPr>
            <w:tcW w:w="2070" w:type="dxa"/>
            <w:gridSpan w:val="2"/>
          </w:tcPr>
          <w:p w:rsidR="00BC45C4" w:rsidRPr="00BB34BF" w:rsidRDefault="00BC45C4" w:rsidP="00C25ACC">
            <w:r>
              <w:rPr>
                <w:rFonts w:hint="cs"/>
                <w:rtl/>
              </w:rPr>
              <w:t>بازار اول</w:t>
            </w:r>
          </w:p>
        </w:tc>
        <w:tc>
          <w:tcPr>
            <w:tcW w:w="973" w:type="dxa"/>
            <w:vMerge w:val="restart"/>
            <w:vAlign w:val="center"/>
          </w:tcPr>
          <w:p w:rsidR="00BC45C4" w:rsidRPr="00BB34BF" w:rsidRDefault="00BC45C4" w:rsidP="00C25ACC">
            <w:pPr>
              <w:rPr>
                <w:rtl/>
              </w:rPr>
            </w:pPr>
            <w:r>
              <w:rPr>
                <w:rFonts w:hint="cs"/>
                <w:rtl/>
              </w:rPr>
              <w:t>بازار دوم</w:t>
            </w:r>
          </w:p>
        </w:tc>
      </w:tr>
      <w:tr w:rsidR="00BC45C4" w:rsidRPr="006116DE" w:rsidTr="00663F7F">
        <w:trPr>
          <w:jc w:val="center"/>
        </w:trPr>
        <w:tc>
          <w:tcPr>
            <w:tcW w:w="7163" w:type="dxa"/>
            <w:gridSpan w:val="3"/>
            <w:vMerge/>
            <w:vAlign w:val="center"/>
          </w:tcPr>
          <w:p w:rsidR="00BC45C4" w:rsidRPr="007414A5" w:rsidRDefault="00BC45C4" w:rsidP="00C25ACC">
            <w:pPr>
              <w:rPr>
                <w:rtl/>
              </w:rPr>
            </w:pPr>
          </w:p>
        </w:tc>
        <w:tc>
          <w:tcPr>
            <w:tcW w:w="1057" w:type="dxa"/>
            <w:vAlign w:val="center"/>
          </w:tcPr>
          <w:p w:rsidR="00BC45C4" w:rsidRPr="00BB34BF" w:rsidRDefault="00BC45C4" w:rsidP="00C25ACC">
            <w:r>
              <w:rPr>
                <w:rFonts w:hint="cs"/>
                <w:rtl/>
              </w:rPr>
              <w:t>تابلو اصلي</w:t>
            </w:r>
          </w:p>
        </w:tc>
        <w:tc>
          <w:tcPr>
            <w:tcW w:w="1013" w:type="dxa"/>
            <w:vAlign w:val="center"/>
          </w:tcPr>
          <w:p w:rsidR="00BC45C4" w:rsidRPr="00BB34BF" w:rsidRDefault="00BC45C4" w:rsidP="00C25ACC">
            <w:r>
              <w:rPr>
                <w:rFonts w:hint="cs"/>
                <w:rtl/>
              </w:rPr>
              <w:t>تابلو فرعي</w:t>
            </w:r>
          </w:p>
        </w:tc>
        <w:tc>
          <w:tcPr>
            <w:tcW w:w="973" w:type="dxa"/>
            <w:vMerge/>
            <w:vAlign w:val="center"/>
          </w:tcPr>
          <w:p w:rsidR="00BC45C4" w:rsidRPr="00BB34BF" w:rsidRDefault="00BC45C4" w:rsidP="00C25ACC">
            <w:pPr>
              <w:rPr>
                <w:rtl/>
              </w:rPr>
            </w:pPr>
          </w:p>
        </w:tc>
      </w:tr>
      <w:tr w:rsidR="00DB2A70" w:rsidRPr="006116DE" w:rsidTr="00705A79">
        <w:trPr>
          <w:jc w:val="center"/>
        </w:trPr>
        <w:tc>
          <w:tcPr>
            <w:tcW w:w="701" w:type="dxa"/>
            <w:vAlign w:val="center"/>
          </w:tcPr>
          <w:p w:rsidR="00DB2A70" w:rsidRPr="007414A5" w:rsidRDefault="00DB2A70" w:rsidP="00C25ACC">
            <w:pPr>
              <w:rPr>
                <w:rtl/>
              </w:rPr>
            </w:pPr>
            <w:r w:rsidRPr="007414A5">
              <w:rPr>
                <w:rFonts w:hint="cs"/>
                <w:rtl/>
              </w:rPr>
              <w:t>1</w:t>
            </w:r>
          </w:p>
        </w:tc>
        <w:tc>
          <w:tcPr>
            <w:tcW w:w="6462" w:type="dxa"/>
            <w:gridSpan w:val="2"/>
            <w:vAlign w:val="center"/>
          </w:tcPr>
          <w:p w:rsidR="00DB2A70" w:rsidRPr="007414A5" w:rsidRDefault="00DB2A70" w:rsidP="00C25ACC">
            <w:pPr>
              <w:rPr>
                <w:rtl/>
              </w:rPr>
            </w:pPr>
            <w:r w:rsidRPr="007414A5">
              <w:rPr>
                <w:rFonts w:hint="cs"/>
                <w:rtl/>
              </w:rPr>
              <w:t xml:space="preserve">سرمایه ثبت شده آن از </w:t>
            </w:r>
            <w:r w:rsidR="00705A79">
              <w:rPr>
                <w:rFonts w:hint="cs"/>
                <w:rtl/>
              </w:rPr>
              <w:t xml:space="preserve">.... </w:t>
            </w:r>
            <w:r w:rsidRPr="007414A5">
              <w:rPr>
                <w:rFonts w:hint="cs"/>
                <w:rtl/>
              </w:rPr>
              <w:t>میلیارد ریال کمتر نباشد.</w:t>
            </w:r>
            <w:r w:rsidR="00705A79">
              <w:rPr>
                <w:rFonts w:hint="cs"/>
                <w:rtl/>
              </w:rPr>
              <w:t xml:space="preserve"> ( مبلغ سرمايه: ***)</w:t>
            </w:r>
          </w:p>
        </w:tc>
        <w:tc>
          <w:tcPr>
            <w:tcW w:w="1057" w:type="dxa"/>
          </w:tcPr>
          <w:p w:rsidR="00DB2A70" w:rsidRPr="00BB34BF" w:rsidRDefault="00705A79" w:rsidP="00C25ACC">
            <w:r>
              <w:rPr>
                <w:rFonts w:hint="cs"/>
                <w:rtl/>
              </w:rPr>
              <w:t>1000</w:t>
            </w:r>
          </w:p>
        </w:tc>
        <w:tc>
          <w:tcPr>
            <w:tcW w:w="1013" w:type="dxa"/>
            <w:vAlign w:val="center"/>
          </w:tcPr>
          <w:p w:rsidR="00DB2A70" w:rsidRPr="00BB34BF" w:rsidRDefault="00705A79" w:rsidP="00C25ACC">
            <w:pPr>
              <w:rPr>
                <w:rtl/>
              </w:rPr>
            </w:pPr>
            <w:r>
              <w:rPr>
                <w:rFonts w:hint="cs"/>
                <w:rtl/>
              </w:rPr>
              <w:t>500</w:t>
            </w:r>
          </w:p>
        </w:tc>
        <w:tc>
          <w:tcPr>
            <w:tcW w:w="973" w:type="dxa"/>
            <w:vAlign w:val="center"/>
          </w:tcPr>
          <w:p w:rsidR="00DB2A70" w:rsidRPr="00BB34BF" w:rsidRDefault="00705A79" w:rsidP="00C25ACC">
            <w:pPr>
              <w:rPr>
                <w:rtl/>
              </w:rPr>
            </w:pPr>
            <w:r>
              <w:rPr>
                <w:rFonts w:hint="cs"/>
                <w:rtl/>
              </w:rPr>
              <w:t>200</w:t>
            </w:r>
          </w:p>
        </w:tc>
      </w:tr>
      <w:tr w:rsidR="00DB2A70" w:rsidRPr="006116DE" w:rsidTr="00705A79">
        <w:trPr>
          <w:jc w:val="center"/>
        </w:trPr>
        <w:tc>
          <w:tcPr>
            <w:tcW w:w="701" w:type="dxa"/>
            <w:vAlign w:val="center"/>
          </w:tcPr>
          <w:p w:rsidR="00DB2A70" w:rsidRPr="007414A5" w:rsidRDefault="00DB2A70" w:rsidP="00C25ACC">
            <w:pPr>
              <w:rPr>
                <w:rtl/>
              </w:rPr>
            </w:pPr>
            <w:r w:rsidRPr="007414A5">
              <w:rPr>
                <w:rFonts w:hint="cs"/>
                <w:rtl/>
              </w:rPr>
              <w:t>2</w:t>
            </w:r>
          </w:p>
        </w:tc>
        <w:tc>
          <w:tcPr>
            <w:tcW w:w="6462" w:type="dxa"/>
            <w:gridSpan w:val="2"/>
            <w:vAlign w:val="center"/>
          </w:tcPr>
          <w:p w:rsidR="00DB2A70" w:rsidRPr="007414A5" w:rsidRDefault="000F4CF9" w:rsidP="00C25ACC">
            <w:pPr>
              <w:rPr>
                <w:rtl/>
              </w:rPr>
            </w:pPr>
            <w:r w:rsidRPr="007414A5">
              <w:rPr>
                <w:rtl/>
              </w:rPr>
              <w:t xml:space="preserve">حداقل </w:t>
            </w:r>
            <w:r>
              <w:rPr>
                <w:rFonts w:hint="cs"/>
                <w:rtl/>
              </w:rPr>
              <w:t>....</w:t>
            </w:r>
            <w:r w:rsidRPr="007414A5">
              <w:rPr>
                <w:rtl/>
              </w:rPr>
              <w:t xml:space="preserve"> درصد از سهام ثبت‌شده‌ی آن شناور بوده و تعداد سهامداران آن حداقل </w:t>
            </w:r>
            <w:r>
              <w:rPr>
                <w:rFonts w:hint="cs"/>
                <w:rtl/>
              </w:rPr>
              <w:t>.....</w:t>
            </w:r>
            <w:r w:rsidRPr="007414A5">
              <w:rPr>
                <w:rFonts w:hint="cs"/>
                <w:rtl/>
              </w:rPr>
              <w:t xml:space="preserve"> </w:t>
            </w:r>
            <w:r w:rsidRPr="007414A5">
              <w:rPr>
                <w:rtl/>
              </w:rPr>
              <w:t>نفر باشد.</w:t>
            </w:r>
          </w:p>
        </w:tc>
        <w:tc>
          <w:tcPr>
            <w:tcW w:w="1057" w:type="dxa"/>
          </w:tcPr>
          <w:p w:rsidR="00DB2A70" w:rsidRPr="00BB34BF" w:rsidRDefault="000F4CF9" w:rsidP="00C25ACC">
            <w:r>
              <w:rPr>
                <w:rFonts w:hint="cs"/>
                <w:rtl/>
              </w:rPr>
              <w:t>20%-1000</w:t>
            </w:r>
          </w:p>
        </w:tc>
        <w:tc>
          <w:tcPr>
            <w:tcW w:w="1013" w:type="dxa"/>
            <w:vAlign w:val="center"/>
          </w:tcPr>
          <w:p w:rsidR="00DB2A70" w:rsidRPr="00BB34BF" w:rsidRDefault="000F4CF9" w:rsidP="00C25ACC">
            <w:r>
              <w:rPr>
                <w:rFonts w:hint="cs"/>
                <w:rtl/>
              </w:rPr>
              <w:t>15%-750</w:t>
            </w:r>
          </w:p>
        </w:tc>
        <w:tc>
          <w:tcPr>
            <w:tcW w:w="973" w:type="dxa"/>
            <w:vAlign w:val="center"/>
          </w:tcPr>
          <w:p w:rsidR="00DB2A70" w:rsidRPr="00BB34BF" w:rsidRDefault="000F4CF9" w:rsidP="00C25ACC">
            <w:pPr>
              <w:rPr>
                <w:rtl/>
              </w:rPr>
            </w:pPr>
            <w:r>
              <w:rPr>
                <w:rFonts w:hint="cs"/>
                <w:rtl/>
              </w:rPr>
              <w:t>10%-250</w:t>
            </w:r>
          </w:p>
        </w:tc>
      </w:tr>
      <w:tr w:rsidR="00392E8D" w:rsidRPr="006116DE" w:rsidTr="000F4CF9">
        <w:trPr>
          <w:jc w:val="center"/>
        </w:trPr>
        <w:tc>
          <w:tcPr>
            <w:tcW w:w="701" w:type="dxa"/>
            <w:vMerge w:val="restart"/>
            <w:vAlign w:val="center"/>
          </w:tcPr>
          <w:p w:rsidR="00392E8D" w:rsidRPr="007414A5" w:rsidRDefault="00392E8D" w:rsidP="00C25ACC">
            <w:pPr>
              <w:rPr>
                <w:rtl/>
              </w:rPr>
            </w:pPr>
            <w:r>
              <w:rPr>
                <w:rFonts w:hint="cs"/>
                <w:rtl/>
              </w:rPr>
              <w:t>3</w:t>
            </w:r>
          </w:p>
        </w:tc>
        <w:tc>
          <w:tcPr>
            <w:tcW w:w="6462" w:type="dxa"/>
            <w:gridSpan w:val="2"/>
            <w:vAlign w:val="center"/>
          </w:tcPr>
          <w:p w:rsidR="00392E8D" w:rsidRPr="007414A5" w:rsidRDefault="00392E8D" w:rsidP="00C25ACC">
            <w:pPr>
              <w:rPr>
                <w:rtl/>
              </w:rPr>
            </w:pPr>
            <w:r w:rsidRPr="00C56274">
              <w:rPr>
                <w:rFonts w:hint="cs"/>
                <w:rtl/>
              </w:rPr>
              <w:t xml:space="preserve">حداقل بايد </w:t>
            </w:r>
            <w:r w:rsidR="00895071">
              <w:rPr>
                <w:rFonts w:hint="cs"/>
                <w:rtl/>
              </w:rPr>
              <w:t>.</w:t>
            </w:r>
            <w:r w:rsidR="00356984">
              <w:rPr>
                <w:rFonts w:hint="cs"/>
                <w:rtl/>
              </w:rPr>
              <w:t>...</w:t>
            </w:r>
            <w:r w:rsidR="00895071">
              <w:rPr>
                <w:rFonts w:hint="cs"/>
                <w:rtl/>
              </w:rPr>
              <w:t xml:space="preserve">. </w:t>
            </w:r>
            <w:r w:rsidRPr="00C56274">
              <w:rPr>
                <w:rFonts w:hint="cs"/>
                <w:rtl/>
              </w:rPr>
              <w:t>سال سابقه‌ی فعاليت در صنعت مربوط داشته و طی این مدت موضوع فعالیت آن تغییر نکرده باشد. همچنين از مدت مأموريت حداقل دو نفر از مديران فعلي آن، حداقل شش ماه سپري شده باشد</w:t>
            </w:r>
            <w:r w:rsidR="00895071">
              <w:rPr>
                <w:rFonts w:hint="cs"/>
                <w:rtl/>
              </w:rPr>
              <w:t>.</w:t>
            </w:r>
          </w:p>
        </w:tc>
        <w:tc>
          <w:tcPr>
            <w:tcW w:w="1057" w:type="dxa"/>
            <w:vAlign w:val="center"/>
          </w:tcPr>
          <w:p w:rsidR="00392E8D" w:rsidRPr="005717CD" w:rsidRDefault="00392E8D" w:rsidP="00C25ACC">
            <w:r>
              <w:rPr>
                <w:rFonts w:hint="cs"/>
                <w:rtl/>
              </w:rPr>
              <w:t>3</w:t>
            </w:r>
          </w:p>
        </w:tc>
        <w:tc>
          <w:tcPr>
            <w:tcW w:w="1013" w:type="dxa"/>
            <w:vAlign w:val="center"/>
          </w:tcPr>
          <w:p w:rsidR="00392E8D" w:rsidRPr="00BB34BF" w:rsidRDefault="00392E8D" w:rsidP="00C25ACC">
            <w:pPr>
              <w:rPr>
                <w:rtl/>
              </w:rPr>
            </w:pPr>
            <w:r>
              <w:rPr>
                <w:rFonts w:hint="cs"/>
                <w:rtl/>
              </w:rPr>
              <w:t>3</w:t>
            </w:r>
          </w:p>
        </w:tc>
        <w:tc>
          <w:tcPr>
            <w:tcW w:w="973" w:type="dxa"/>
            <w:vAlign w:val="center"/>
          </w:tcPr>
          <w:p w:rsidR="00392E8D" w:rsidRPr="00BB34BF" w:rsidRDefault="00392E8D" w:rsidP="00C25ACC">
            <w:pPr>
              <w:rPr>
                <w:rtl/>
              </w:rPr>
            </w:pPr>
            <w:r>
              <w:rPr>
                <w:rFonts w:hint="cs"/>
                <w:rtl/>
              </w:rPr>
              <w:t>2</w:t>
            </w:r>
          </w:p>
        </w:tc>
      </w:tr>
      <w:tr w:rsidR="00356984" w:rsidRPr="006116DE" w:rsidTr="00356984">
        <w:trPr>
          <w:jc w:val="center"/>
        </w:trPr>
        <w:tc>
          <w:tcPr>
            <w:tcW w:w="701" w:type="dxa"/>
            <w:vMerge/>
            <w:vAlign w:val="center"/>
          </w:tcPr>
          <w:p w:rsidR="00356984" w:rsidRPr="007414A5" w:rsidRDefault="00356984" w:rsidP="00C25ACC">
            <w:pPr>
              <w:rPr>
                <w:rtl/>
              </w:rPr>
            </w:pPr>
          </w:p>
        </w:tc>
        <w:tc>
          <w:tcPr>
            <w:tcW w:w="3550" w:type="dxa"/>
            <w:vAlign w:val="center"/>
          </w:tcPr>
          <w:p w:rsidR="00356984" w:rsidRPr="00407118" w:rsidRDefault="00356984" w:rsidP="00C25ACC">
            <w:pPr>
              <w:rPr>
                <w:rtl/>
              </w:rPr>
            </w:pPr>
            <w:r>
              <w:rPr>
                <w:rFonts w:hint="cs"/>
                <w:rtl/>
              </w:rPr>
              <w:t xml:space="preserve">فعاليت اصلي شركت- تاريخ </w:t>
            </w:r>
            <w:r w:rsidRPr="00392E8D">
              <w:rPr>
                <w:rFonts w:hint="cs"/>
                <w:rtl/>
              </w:rPr>
              <w:t>بهره</w:t>
            </w:r>
            <w:r>
              <w:rPr>
                <w:rFonts w:hint="cs"/>
                <w:rtl/>
              </w:rPr>
              <w:t xml:space="preserve"> </w:t>
            </w:r>
            <w:r w:rsidRPr="00392E8D">
              <w:rPr>
                <w:rFonts w:hint="cs"/>
                <w:rtl/>
              </w:rPr>
              <w:t>برداري</w:t>
            </w:r>
            <w:r>
              <w:rPr>
                <w:rFonts w:hint="cs"/>
                <w:rtl/>
              </w:rPr>
              <w:t>:</w:t>
            </w:r>
          </w:p>
        </w:tc>
        <w:tc>
          <w:tcPr>
            <w:tcW w:w="5955" w:type="dxa"/>
            <w:gridSpan w:val="4"/>
            <w:vAlign w:val="center"/>
          </w:tcPr>
          <w:p w:rsidR="00356984" w:rsidRPr="00407118" w:rsidRDefault="00356984" w:rsidP="00C25ACC">
            <w:pPr>
              <w:rPr>
                <w:rtl/>
              </w:rPr>
            </w:pPr>
          </w:p>
        </w:tc>
      </w:tr>
      <w:tr w:rsidR="00BC45C4" w:rsidRPr="006116DE" w:rsidTr="004C079E">
        <w:trPr>
          <w:jc w:val="center"/>
        </w:trPr>
        <w:tc>
          <w:tcPr>
            <w:tcW w:w="701" w:type="dxa"/>
            <w:vMerge w:val="restart"/>
            <w:vAlign w:val="center"/>
          </w:tcPr>
          <w:p w:rsidR="00BC45C4" w:rsidRPr="007414A5" w:rsidRDefault="00BC45C4" w:rsidP="00C25ACC">
            <w:pPr>
              <w:rPr>
                <w:rtl/>
              </w:rPr>
            </w:pPr>
            <w:r>
              <w:rPr>
                <w:rFonts w:hint="cs"/>
                <w:rtl/>
              </w:rPr>
              <w:t>4</w:t>
            </w:r>
          </w:p>
        </w:tc>
        <w:tc>
          <w:tcPr>
            <w:tcW w:w="6462" w:type="dxa"/>
            <w:gridSpan w:val="2"/>
            <w:vAlign w:val="center"/>
          </w:tcPr>
          <w:p w:rsidR="00BC45C4" w:rsidRPr="007414A5" w:rsidRDefault="00BC45C4" w:rsidP="00C25ACC">
            <w:pPr>
              <w:rPr>
                <w:rtl/>
              </w:rPr>
            </w:pPr>
            <w:r w:rsidRPr="007414A5">
              <w:rPr>
                <w:rtl/>
              </w:rPr>
              <w:t xml:space="preserve">در </w:t>
            </w:r>
            <w:r>
              <w:rPr>
                <w:rFonts w:hint="cs"/>
                <w:rtl/>
              </w:rPr>
              <w:t>....</w:t>
            </w:r>
            <w:r w:rsidRPr="007414A5">
              <w:rPr>
                <w:rtl/>
              </w:rPr>
              <w:t>دوره مال</w:t>
            </w:r>
            <w:r w:rsidRPr="007414A5">
              <w:rPr>
                <w:rFonts w:hint="cs"/>
                <w:rtl/>
              </w:rPr>
              <w:t>ی</w:t>
            </w:r>
            <w:r w:rsidRPr="007414A5">
              <w:rPr>
                <w:rtl/>
              </w:rPr>
              <w:t xml:space="preserve"> منته</w:t>
            </w:r>
            <w:r w:rsidRPr="007414A5">
              <w:rPr>
                <w:rFonts w:hint="cs"/>
                <w:rtl/>
              </w:rPr>
              <w:t>ی</w:t>
            </w:r>
            <w:r w:rsidRPr="007414A5">
              <w:rPr>
                <w:rtl/>
              </w:rPr>
              <w:t xml:space="preserve"> به پذ</w:t>
            </w:r>
            <w:r w:rsidRPr="007414A5">
              <w:rPr>
                <w:rFonts w:hint="cs"/>
                <w:rtl/>
              </w:rPr>
              <w:t>ی</w:t>
            </w:r>
            <w:r w:rsidRPr="007414A5">
              <w:rPr>
                <w:rFonts w:hint="eastAsia"/>
                <w:rtl/>
              </w:rPr>
              <w:t>رش</w:t>
            </w:r>
            <w:r w:rsidRPr="007414A5">
              <w:rPr>
                <w:rtl/>
              </w:rPr>
              <w:t xml:space="preserve">  سود آور بوده و چشم انداز روشن</w:t>
            </w:r>
            <w:r w:rsidRPr="007414A5">
              <w:rPr>
                <w:rFonts w:hint="cs"/>
                <w:rtl/>
              </w:rPr>
              <w:t>ی</w:t>
            </w:r>
            <w:r w:rsidRPr="007414A5">
              <w:rPr>
                <w:rtl/>
              </w:rPr>
              <w:t xml:space="preserve"> از تداوم سود آور</w:t>
            </w:r>
            <w:r w:rsidRPr="007414A5">
              <w:rPr>
                <w:rFonts w:hint="cs"/>
                <w:rtl/>
              </w:rPr>
              <w:t>ی</w:t>
            </w:r>
            <w:r w:rsidRPr="007414A5">
              <w:rPr>
                <w:rtl/>
              </w:rPr>
              <w:t xml:space="preserve"> و فعال</w:t>
            </w:r>
            <w:r w:rsidRPr="007414A5">
              <w:rPr>
                <w:rFonts w:hint="cs"/>
                <w:rtl/>
              </w:rPr>
              <w:t>ی</w:t>
            </w:r>
            <w:r w:rsidRPr="007414A5">
              <w:rPr>
                <w:rFonts w:hint="eastAsia"/>
                <w:rtl/>
              </w:rPr>
              <w:t>ت</w:t>
            </w:r>
            <w:r>
              <w:rPr>
                <w:rFonts w:hint="cs"/>
                <w:rtl/>
              </w:rPr>
              <w:t xml:space="preserve"> </w:t>
            </w:r>
            <w:r w:rsidRPr="007414A5">
              <w:rPr>
                <w:rtl/>
              </w:rPr>
              <w:t>شرکت در صنعت وجود داشته باشد</w:t>
            </w:r>
          </w:p>
        </w:tc>
        <w:tc>
          <w:tcPr>
            <w:tcW w:w="1057" w:type="dxa"/>
            <w:vAlign w:val="center"/>
          </w:tcPr>
          <w:p w:rsidR="00BC45C4" w:rsidRPr="00407118" w:rsidRDefault="00BC45C4" w:rsidP="00C25ACC">
            <w:r>
              <w:rPr>
                <w:rFonts w:hint="cs"/>
                <w:rtl/>
              </w:rPr>
              <w:t>3</w:t>
            </w:r>
          </w:p>
        </w:tc>
        <w:tc>
          <w:tcPr>
            <w:tcW w:w="1013" w:type="dxa"/>
            <w:vAlign w:val="center"/>
          </w:tcPr>
          <w:p w:rsidR="00BC45C4" w:rsidRPr="004C079E" w:rsidRDefault="00BC45C4" w:rsidP="00C25ACC">
            <w:pPr>
              <w:rPr>
                <w:lang w:val="en-US"/>
              </w:rPr>
            </w:pPr>
            <w:r>
              <w:rPr>
                <w:rFonts w:hint="cs"/>
                <w:rtl/>
              </w:rPr>
              <w:t>2</w:t>
            </w:r>
          </w:p>
        </w:tc>
        <w:tc>
          <w:tcPr>
            <w:tcW w:w="973" w:type="dxa"/>
            <w:vAlign w:val="center"/>
          </w:tcPr>
          <w:p w:rsidR="00BC45C4" w:rsidRPr="00407118" w:rsidRDefault="00BC45C4" w:rsidP="00C25ACC">
            <w:pPr>
              <w:rPr>
                <w:rtl/>
              </w:rPr>
            </w:pPr>
            <w:r>
              <w:rPr>
                <w:rFonts w:hint="cs"/>
                <w:rtl/>
              </w:rPr>
              <w:t>1</w:t>
            </w:r>
          </w:p>
        </w:tc>
      </w:tr>
      <w:tr w:rsidR="00BC45C4" w:rsidRPr="006116DE" w:rsidTr="00BD094C">
        <w:trPr>
          <w:jc w:val="center"/>
        </w:trPr>
        <w:tc>
          <w:tcPr>
            <w:tcW w:w="701" w:type="dxa"/>
            <w:vMerge/>
            <w:vAlign w:val="center"/>
          </w:tcPr>
          <w:p w:rsidR="00BC45C4" w:rsidRPr="007414A5" w:rsidRDefault="00BC45C4" w:rsidP="00C25ACC">
            <w:pPr>
              <w:rPr>
                <w:rtl/>
              </w:rPr>
            </w:pPr>
          </w:p>
        </w:tc>
        <w:tc>
          <w:tcPr>
            <w:tcW w:w="9505" w:type="dxa"/>
            <w:gridSpan w:val="5"/>
            <w:vAlign w:val="center"/>
          </w:tcPr>
          <w:p w:rsidR="00BC45C4" w:rsidRPr="00C25ACC" w:rsidRDefault="00BC45C4" w:rsidP="00C25ACC">
            <w:pPr>
              <w:rPr>
                <w:lang w:val="en-US"/>
              </w:rPr>
            </w:pPr>
            <w:r>
              <w:rPr>
                <w:rFonts w:hint="cs"/>
                <w:rtl/>
              </w:rPr>
              <w:t>سود آخرين سال مالي (ميليون ريال): ***</w:t>
            </w:r>
            <w:r>
              <w:rPr>
                <w:lang w:val="en-US"/>
              </w:rPr>
              <w:t xml:space="preserve">                                                                      </w:t>
            </w:r>
            <w:r>
              <w:rPr>
                <w:rFonts w:hint="cs"/>
                <w:rtl/>
              </w:rPr>
              <w:t xml:space="preserve"> </w:t>
            </w:r>
            <w:r>
              <w:rPr>
                <w:lang w:val="en-US"/>
              </w:rPr>
              <w:t xml:space="preserve"> EPS </w:t>
            </w:r>
            <w:r>
              <w:rPr>
                <w:rFonts w:hint="cs"/>
                <w:rtl/>
              </w:rPr>
              <w:t>آخرين سال مالي (ريال):</w:t>
            </w:r>
            <w:r>
              <w:rPr>
                <w:rFonts w:hint="cs"/>
                <w:rtl/>
                <w:lang w:val="en-US"/>
              </w:rPr>
              <w:t xml:space="preserve"> ***</w:t>
            </w:r>
          </w:p>
        </w:tc>
      </w:tr>
      <w:tr w:rsidR="00DB2A70" w:rsidRPr="006116DE" w:rsidTr="00C25ACC">
        <w:trPr>
          <w:jc w:val="center"/>
        </w:trPr>
        <w:tc>
          <w:tcPr>
            <w:tcW w:w="701" w:type="dxa"/>
            <w:vAlign w:val="center"/>
          </w:tcPr>
          <w:p w:rsidR="00DB2A70" w:rsidRPr="007414A5" w:rsidRDefault="00BC45C4" w:rsidP="00C25ACC">
            <w:pPr>
              <w:rPr>
                <w:rtl/>
              </w:rPr>
            </w:pPr>
            <w:r>
              <w:rPr>
                <w:rFonts w:hint="cs"/>
                <w:rtl/>
              </w:rPr>
              <w:t>5</w:t>
            </w:r>
          </w:p>
        </w:tc>
        <w:tc>
          <w:tcPr>
            <w:tcW w:w="6462" w:type="dxa"/>
            <w:gridSpan w:val="2"/>
            <w:vAlign w:val="center"/>
          </w:tcPr>
          <w:p w:rsidR="00DB2A70" w:rsidRPr="007414A5" w:rsidRDefault="00DB2A70" w:rsidP="00C25ACC">
            <w:pPr>
              <w:rPr>
                <w:rtl/>
              </w:rPr>
            </w:pPr>
            <w:r w:rsidRPr="007414A5">
              <w:rPr>
                <w:rFonts w:hint="cs"/>
                <w:rtl/>
              </w:rPr>
              <w:t>براساس آخرین صورت‌های مالی سالانه</w:t>
            </w:r>
            <w:r w:rsidRPr="007414A5">
              <w:rPr>
                <w:rFonts w:hint="eastAsia"/>
                <w:rtl/>
              </w:rPr>
              <w:t>‌ی</w:t>
            </w:r>
            <w:r w:rsidRPr="007414A5">
              <w:rPr>
                <w:rFonts w:hint="cs"/>
                <w:rtl/>
              </w:rPr>
              <w:t xml:space="preserve"> حسابرسی شده، نسبت حقوق صاحبان سهام به كل دارايي‌ها، </w:t>
            </w:r>
            <w:r w:rsidR="00326383">
              <w:rPr>
                <w:rFonts w:hint="cs"/>
                <w:rtl/>
              </w:rPr>
              <w:t xml:space="preserve">( نسبت مالكانه: *** ) </w:t>
            </w:r>
            <w:r w:rsidRPr="007414A5">
              <w:rPr>
                <w:rFonts w:hint="cs"/>
                <w:rtl/>
              </w:rPr>
              <w:t xml:space="preserve">حداقل </w:t>
            </w:r>
            <w:r w:rsidR="00D0245F">
              <w:rPr>
                <w:rFonts w:hint="cs"/>
                <w:rtl/>
              </w:rPr>
              <w:t>...</w:t>
            </w:r>
            <w:r w:rsidRPr="007414A5">
              <w:rPr>
                <w:rFonts w:hint="cs"/>
                <w:rtl/>
              </w:rPr>
              <w:t xml:space="preserve"> درصد باشد.</w:t>
            </w:r>
          </w:p>
        </w:tc>
        <w:tc>
          <w:tcPr>
            <w:tcW w:w="1057" w:type="dxa"/>
            <w:vAlign w:val="center"/>
          </w:tcPr>
          <w:p w:rsidR="00DB2A70" w:rsidRPr="00407118" w:rsidRDefault="00C25ACC" w:rsidP="00C25ACC">
            <w:r>
              <w:rPr>
                <w:rFonts w:hint="cs"/>
                <w:rtl/>
              </w:rPr>
              <w:t>30%</w:t>
            </w:r>
          </w:p>
        </w:tc>
        <w:tc>
          <w:tcPr>
            <w:tcW w:w="1013" w:type="dxa"/>
            <w:vAlign w:val="center"/>
          </w:tcPr>
          <w:p w:rsidR="00DB2A70" w:rsidRPr="005717CD" w:rsidRDefault="00C25ACC" w:rsidP="00C25ACC">
            <w:pPr>
              <w:rPr>
                <w:lang w:val="en-US"/>
              </w:rPr>
            </w:pPr>
            <w:r>
              <w:rPr>
                <w:rFonts w:hint="cs"/>
                <w:rtl/>
                <w:lang w:val="en-US"/>
              </w:rPr>
              <w:t>20%</w:t>
            </w:r>
          </w:p>
        </w:tc>
        <w:tc>
          <w:tcPr>
            <w:tcW w:w="973" w:type="dxa"/>
            <w:vAlign w:val="center"/>
          </w:tcPr>
          <w:p w:rsidR="00DB2A70" w:rsidRPr="00C25ACC" w:rsidRDefault="00C25ACC" w:rsidP="00C25ACC">
            <w:pPr>
              <w:rPr>
                <w:rFonts w:cs="Times New Roman"/>
                <w:rtl/>
              </w:rPr>
            </w:pPr>
            <w:r>
              <w:rPr>
                <w:rFonts w:hint="cs"/>
                <w:rtl/>
              </w:rPr>
              <w:t>15%</w:t>
            </w:r>
          </w:p>
        </w:tc>
      </w:tr>
    </w:tbl>
    <w:p w:rsidR="00DD2394" w:rsidRDefault="00DD2394" w:rsidP="00C25ACC">
      <w:pPr>
        <w:pStyle w:val="ListParagraph"/>
        <w:rPr>
          <w:rtl/>
        </w:rPr>
      </w:pPr>
    </w:p>
    <w:p w:rsidR="007414A5" w:rsidRPr="005717CD" w:rsidRDefault="007414A5" w:rsidP="00C25ACC">
      <w:pPr>
        <w:pStyle w:val="ListParagraph"/>
      </w:pPr>
    </w:p>
    <w:tbl>
      <w:tblPr>
        <w:tblStyle w:val="TableGrid"/>
        <w:bidiVisual/>
        <w:tblW w:w="0" w:type="auto"/>
        <w:jc w:val="center"/>
        <w:tblInd w:w="106" w:type="dxa"/>
        <w:tblLook w:val="04A0"/>
      </w:tblPr>
      <w:tblGrid>
        <w:gridCol w:w="4961"/>
        <w:gridCol w:w="2126"/>
        <w:gridCol w:w="10"/>
      </w:tblGrid>
      <w:tr w:rsidR="006C20A4" w:rsidTr="006C20A4">
        <w:trPr>
          <w:jc w:val="center"/>
        </w:trPr>
        <w:tc>
          <w:tcPr>
            <w:tcW w:w="7097" w:type="dxa"/>
            <w:gridSpan w:val="3"/>
            <w:shd w:val="clear" w:color="auto" w:fill="BFBFBF" w:themeFill="background1" w:themeFillShade="BF"/>
          </w:tcPr>
          <w:p w:rsidR="006C20A4" w:rsidRPr="00275038" w:rsidRDefault="006C20A4" w:rsidP="00C25ACC">
            <w:pPr>
              <w:rPr>
                <w:rtl/>
              </w:rPr>
            </w:pPr>
            <w:r w:rsidRPr="00275038">
              <w:rPr>
                <w:rFonts w:hint="cs"/>
                <w:rtl/>
              </w:rPr>
              <w:t>صورت سود و زیان</w:t>
            </w:r>
            <w:r w:rsidR="00BC45C4">
              <w:rPr>
                <w:rFonts w:hint="cs"/>
                <w:rtl/>
              </w:rPr>
              <w:t xml:space="preserve"> شركت *** براي سال مالي منتهي به ****</w:t>
            </w:r>
            <w:r w:rsidRPr="00275038">
              <w:rPr>
                <w:rFonts w:hint="cs"/>
                <w:rtl/>
              </w:rPr>
              <w:t xml:space="preserve"> (میلیون ریال)</w:t>
            </w: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t>فروش خالص و درآمد ارائه خدمات</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t>بهای تمام شده</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t>سود ناخالص</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2E1739" w:rsidP="00C25ACC">
            <w:pPr>
              <w:rPr>
                <w:rtl/>
              </w:rPr>
            </w:pPr>
            <w:r>
              <w:rPr>
                <w:rFonts w:hint="cs"/>
                <w:rtl/>
              </w:rPr>
              <w:t>سود حاصل از سرمایه</w:t>
            </w:r>
            <w:r>
              <w:rPr>
                <w:rFonts w:hint="eastAsia"/>
                <w:rtl/>
              </w:rPr>
              <w:t>‌</w:t>
            </w:r>
            <w:r>
              <w:rPr>
                <w:rFonts w:hint="cs"/>
                <w:rtl/>
              </w:rPr>
              <w:t>گذاری</w:t>
            </w:r>
            <w:r>
              <w:rPr>
                <w:rFonts w:hint="eastAsia"/>
                <w:rtl/>
              </w:rPr>
              <w:t>‌</w:t>
            </w:r>
            <w:r>
              <w:rPr>
                <w:rFonts w:hint="cs"/>
                <w:rtl/>
              </w:rPr>
              <w:t>ها - عملیاتی</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2E1739" w:rsidP="00C25ACC">
            <w:pPr>
              <w:rPr>
                <w:rtl/>
              </w:rPr>
            </w:pPr>
            <w:r w:rsidRPr="003B20B6">
              <w:rPr>
                <w:rFonts w:hint="cs"/>
                <w:rtl/>
              </w:rPr>
              <w:t>هزینه های عمومی - اداری</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t>خالص سایر درآمدها و هزینه</w:t>
            </w:r>
            <w:r w:rsidRPr="003B20B6">
              <w:rPr>
                <w:rFonts w:hint="eastAsia"/>
                <w:rtl/>
              </w:rPr>
              <w:t>‌</w:t>
            </w:r>
            <w:r w:rsidRPr="003B20B6">
              <w:rPr>
                <w:rFonts w:hint="cs"/>
                <w:rtl/>
              </w:rPr>
              <w:t>های عملیاتی</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t>سود عملیاتی</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t>هزینه</w:t>
            </w:r>
            <w:r w:rsidRPr="003B20B6">
              <w:rPr>
                <w:rFonts w:hint="eastAsia"/>
                <w:rtl/>
              </w:rPr>
              <w:t>‌</w:t>
            </w:r>
            <w:r w:rsidRPr="003B20B6">
              <w:rPr>
                <w:rFonts w:hint="cs"/>
                <w:rtl/>
              </w:rPr>
              <w:t>های مالی</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t>خالص سایر درآمدها و هزینه</w:t>
            </w:r>
            <w:r w:rsidRPr="003B20B6">
              <w:rPr>
                <w:rFonts w:hint="eastAsia"/>
                <w:rtl/>
              </w:rPr>
              <w:t>‌</w:t>
            </w:r>
            <w:r w:rsidRPr="003B20B6">
              <w:rPr>
                <w:rFonts w:hint="cs"/>
                <w:rtl/>
              </w:rPr>
              <w:t>های غیر عملیاتی</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t>سود قبل از احتساب سهم گروه از سود شرکتهای وابسته</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t>سهم گروه از سود شرکتهای وابسته</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t>سود قبل از مالیات</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lastRenderedPageBreak/>
              <w:t>مالیات بر درآمد</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6C20A4" w:rsidP="00C25ACC">
            <w:pPr>
              <w:rPr>
                <w:rtl/>
              </w:rPr>
            </w:pPr>
            <w:r>
              <w:rPr>
                <w:rFonts w:hint="cs"/>
                <w:rtl/>
              </w:rPr>
              <w:t>سود خالص</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6C20A4" w:rsidP="00C25ACC">
            <w:pPr>
              <w:rPr>
                <w:rtl/>
              </w:rPr>
            </w:pPr>
            <w:r>
              <w:rPr>
                <w:rFonts w:hint="cs"/>
                <w:rtl/>
              </w:rPr>
              <w:t>سهم اقلیت از سود خالص</w:t>
            </w:r>
          </w:p>
        </w:tc>
        <w:tc>
          <w:tcPr>
            <w:tcW w:w="2126" w:type="dxa"/>
          </w:tcPr>
          <w:p w:rsidR="006C20A4" w:rsidRPr="003B20B6" w:rsidRDefault="006C20A4" w:rsidP="00C25ACC">
            <w:pPr>
              <w:rPr>
                <w:rtl/>
              </w:rPr>
            </w:pP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t>سود هر سهم</w:t>
            </w:r>
            <w:r>
              <w:rPr>
                <w:rFonts w:hint="cs"/>
                <w:rtl/>
              </w:rPr>
              <w:t xml:space="preserve"> (ریال)</w:t>
            </w:r>
            <w:r w:rsidR="00DF66AA">
              <w:rPr>
                <w:rFonts w:hint="cs"/>
                <w:rtl/>
              </w:rPr>
              <w:t>*</w:t>
            </w:r>
          </w:p>
        </w:tc>
        <w:tc>
          <w:tcPr>
            <w:tcW w:w="2126" w:type="dxa"/>
          </w:tcPr>
          <w:p w:rsidR="006C20A4" w:rsidRPr="003B20B6" w:rsidRDefault="006C20A4" w:rsidP="00C25ACC">
            <w:pPr>
              <w:rPr>
                <w:rtl/>
              </w:rPr>
            </w:pPr>
          </w:p>
        </w:tc>
      </w:tr>
      <w:tr w:rsidR="006C20A4" w:rsidTr="006C20A4">
        <w:trPr>
          <w:jc w:val="center"/>
        </w:trPr>
        <w:tc>
          <w:tcPr>
            <w:tcW w:w="7097" w:type="dxa"/>
            <w:gridSpan w:val="3"/>
            <w:shd w:val="clear" w:color="auto" w:fill="BFBFBF" w:themeFill="background1" w:themeFillShade="BF"/>
          </w:tcPr>
          <w:p w:rsidR="006C20A4" w:rsidRPr="003B20B6" w:rsidRDefault="006C20A4" w:rsidP="00C25ACC">
            <w:pPr>
              <w:rPr>
                <w:rtl/>
              </w:rPr>
            </w:pPr>
            <w:r w:rsidRPr="003B20B6">
              <w:rPr>
                <w:rFonts w:hint="cs"/>
                <w:rtl/>
              </w:rPr>
              <w:t>سود انباشته در پایان سال(میلیون ریال)</w:t>
            </w: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t>سود انباشته در پایان سال</w:t>
            </w:r>
          </w:p>
        </w:tc>
        <w:tc>
          <w:tcPr>
            <w:tcW w:w="2126" w:type="dxa"/>
          </w:tcPr>
          <w:p w:rsidR="006C20A4" w:rsidRPr="003B20B6" w:rsidRDefault="006C20A4" w:rsidP="00C25ACC">
            <w:pPr>
              <w:rPr>
                <w:rtl/>
              </w:rPr>
            </w:pPr>
          </w:p>
        </w:tc>
      </w:tr>
      <w:tr w:rsidR="006C20A4" w:rsidTr="006C20A4">
        <w:trPr>
          <w:jc w:val="center"/>
        </w:trPr>
        <w:tc>
          <w:tcPr>
            <w:tcW w:w="7097" w:type="dxa"/>
            <w:gridSpan w:val="3"/>
            <w:shd w:val="clear" w:color="auto" w:fill="BFBFBF" w:themeFill="background1" w:themeFillShade="BF"/>
          </w:tcPr>
          <w:p w:rsidR="006C20A4" w:rsidRPr="003B20B6" w:rsidRDefault="006C20A4" w:rsidP="00C25ACC">
            <w:pPr>
              <w:rPr>
                <w:rtl/>
              </w:rPr>
            </w:pPr>
            <w:r w:rsidRPr="003B20B6">
              <w:rPr>
                <w:rFonts w:hint="cs"/>
                <w:rtl/>
              </w:rPr>
              <w:t>جریان وجه نقد(میلیون ریال)</w:t>
            </w: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t>وجه نقد ناشی از فعالیتهای عملیاتی</w:t>
            </w:r>
          </w:p>
        </w:tc>
        <w:tc>
          <w:tcPr>
            <w:tcW w:w="2126" w:type="dxa"/>
          </w:tcPr>
          <w:p w:rsidR="006C20A4" w:rsidRPr="005936DE" w:rsidRDefault="006C20A4" w:rsidP="00C25ACC">
            <w:pPr>
              <w:rPr>
                <w:rtl/>
              </w:rPr>
            </w:pPr>
          </w:p>
        </w:tc>
      </w:tr>
      <w:tr w:rsidR="006C20A4" w:rsidTr="006C20A4">
        <w:trPr>
          <w:gridAfter w:val="1"/>
          <w:wAfter w:w="10" w:type="dxa"/>
          <w:jc w:val="center"/>
        </w:trPr>
        <w:tc>
          <w:tcPr>
            <w:tcW w:w="4961" w:type="dxa"/>
          </w:tcPr>
          <w:p w:rsidR="006C20A4" w:rsidRPr="003B20B6" w:rsidRDefault="006C20A4" w:rsidP="00C25ACC">
            <w:pPr>
              <w:rPr>
                <w:rtl/>
              </w:rPr>
            </w:pPr>
            <w:r w:rsidRPr="003B20B6">
              <w:rPr>
                <w:rFonts w:hint="cs"/>
                <w:rtl/>
              </w:rPr>
              <w:t>مانده وجه نقد در پایان دوره</w:t>
            </w:r>
          </w:p>
        </w:tc>
        <w:tc>
          <w:tcPr>
            <w:tcW w:w="2126" w:type="dxa"/>
          </w:tcPr>
          <w:p w:rsidR="006C20A4" w:rsidRPr="003B20B6" w:rsidRDefault="006C20A4" w:rsidP="00C25ACC">
            <w:pPr>
              <w:rPr>
                <w:rtl/>
              </w:rPr>
            </w:pPr>
          </w:p>
        </w:tc>
      </w:tr>
    </w:tbl>
    <w:p w:rsidR="00C21768" w:rsidRPr="00DF66AA" w:rsidRDefault="00DF66AA" w:rsidP="00BC45C4">
      <w:pPr>
        <w:rPr>
          <w:rtl/>
        </w:rPr>
      </w:pPr>
      <w:r>
        <w:rPr>
          <w:rFonts w:hint="cs"/>
          <w:rtl/>
        </w:rPr>
        <w:t xml:space="preserve">*برمبنای </w:t>
      </w:r>
      <w:r w:rsidR="00BC45C4">
        <w:rPr>
          <w:rFonts w:hint="cs"/>
          <w:rtl/>
        </w:rPr>
        <w:t xml:space="preserve">*** </w:t>
      </w:r>
      <w:r>
        <w:rPr>
          <w:rFonts w:hint="cs"/>
          <w:rtl/>
        </w:rPr>
        <w:t xml:space="preserve">میلیون سهم </w:t>
      </w:r>
    </w:p>
    <w:sectPr w:rsidR="00C21768" w:rsidRPr="00DF66AA" w:rsidSect="00322270">
      <w:headerReference w:type="default" r:id="rId8"/>
      <w:footerReference w:type="even" r:id="rId9"/>
      <w:footerReference w:type="default" r:id="rId10"/>
      <w:pgSz w:w="11906" w:h="16838"/>
      <w:pgMar w:top="1190"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1EC6" w:rsidRDefault="00F91EC6" w:rsidP="00C25ACC">
      <w:r>
        <w:separator/>
      </w:r>
    </w:p>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endnote>
  <w:endnote w:type="continuationSeparator" w:id="1">
    <w:p w:rsidR="00F91EC6" w:rsidRDefault="00F91EC6" w:rsidP="00C25ACC">
      <w:r>
        <w:continuationSeparator/>
      </w:r>
    </w:p>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1E4" w:rsidRDefault="00683729" w:rsidP="00C25ACC">
    <w:pPr>
      <w:pStyle w:val="Footer"/>
      <w:rPr>
        <w:rStyle w:val="PageNumber"/>
      </w:rPr>
    </w:pPr>
    <w:r>
      <w:rPr>
        <w:rStyle w:val="PageNumber"/>
        <w:rtl/>
      </w:rPr>
      <w:fldChar w:fldCharType="begin"/>
    </w:r>
    <w:r w:rsidR="006B41E4">
      <w:rPr>
        <w:rStyle w:val="PageNumber"/>
      </w:rPr>
      <w:instrText xml:space="preserve">PAGE  </w:instrText>
    </w:r>
    <w:r>
      <w:rPr>
        <w:rStyle w:val="PageNumber"/>
        <w:rtl/>
      </w:rPr>
      <w:fldChar w:fldCharType="end"/>
    </w:r>
  </w:p>
  <w:p w:rsidR="006B41E4" w:rsidRDefault="006B41E4" w:rsidP="00C25ACC">
    <w:pPr>
      <w:pStyle w:val="Footer"/>
    </w:pPr>
  </w:p>
  <w:p w:rsidR="006B41E4" w:rsidRDefault="006B41E4" w:rsidP="00C25ACC"/>
  <w:p w:rsidR="006B41E4" w:rsidRDefault="006B41E4" w:rsidP="00C25ACC"/>
  <w:p w:rsidR="006B41E4" w:rsidRDefault="006B41E4" w:rsidP="00C25ACC"/>
  <w:p w:rsidR="006B41E4" w:rsidRDefault="006B41E4" w:rsidP="00C25ACC"/>
  <w:p w:rsidR="006B41E4" w:rsidRDefault="006B41E4" w:rsidP="00C25ACC"/>
  <w:p w:rsidR="006B41E4" w:rsidRDefault="006B41E4" w:rsidP="00C25ACC"/>
  <w:p w:rsidR="006B41E4" w:rsidRDefault="006B41E4" w:rsidP="00C25ACC"/>
  <w:p w:rsidR="006B41E4" w:rsidRDefault="006B41E4" w:rsidP="00C25ACC"/>
  <w:p w:rsidR="006B41E4" w:rsidRDefault="006B41E4" w:rsidP="00C25ACC"/>
  <w:p w:rsidR="006B41E4" w:rsidRDefault="006B41E4" w:rsidP="00C25ACC"/>
  <w:p w:rsidR="006B41E4" w:rsidRDefault="006B41E4" w:rsidP="00C25ACC"/>
  <w:p w:rsidR="006B41E4" w:rsidRDefault="006B41E4" w:rsidP="00C25ACC"/>
  <w:p w:rsidR="009A2E3C" w:rsidRDefault="009A2E3C" w:rsidP="00C25ACC"/>
  <w:p w:rsidR="009A2E3C" w:rsidRDefault="009A2E3C" w:rsidP="00C25ACC"/>
  <w:p w:rsidR="009A2E3C" w:rsidRDefault="009A2E3C" w:rsidP="00C25ACC"/>
  <w:p w:rsidR="00133468" w:rsidRDefault="00133468" w:rsidP="00C25AC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1E4" w:rsidRDefault="00683729" w:rsidP="00C25ACC">
    <w:r>
      <w:rPr>
        <w:noProof/>
        <w:lang w:val="en-US" w:eastAsia="en-US" w:bidi="ar-SA"/>
      </w:rPr>
      <w:pict>
        <v:line id="_x0000_s2057" style="position:absolute;left:0;text-align:left;flip:x;z-index:251657728" from="0,7.2pt" to="450pt,7.2pt" strokeweight="1.5pt"/>
      </w:pict>
    </w:r>
  </w:p>
  <w:p w:rsidR="006B41E4" w:rsidRDefault="00683729" w:rsidP="00C25ACC">
    <w:r>
      <w:rPr>
        <w:noProof/>
        <w:lang w:val="en-US" w:eastAsia="en-US" w:bidi="ar-SA"/>
      </w:rPr>
      <w:pict>
        <v:rect id="_x0000_s2050" style="position:absolute;left:0;text-align:left;margin-left:-20.1pt;margin-top:3.4pt;width:237.2pt;height:29.85pt;z-index:251654656" filled="f" stroked="f">
          <v:textbox style="mso-next-textbox:#_x0000_s2050">
            <w:txbxContent>
              <w:p w:rsidR="006B41E4" w:rsidRPr="00A42408" w:rsidRDefault="006B41E4" w:rsidP="00C25ACC">
                <w:r w:rsidRPr="00A42408">
                  <w:rPr>
                    <w:rFonts w:hint="cs"/>
                    <w:rtl/>
                  </w:rPr>
                  <w:t>مدیریت پذیرش اوراق بهادار</w:t>
                </w:r>
              </w:p>
            </w:txbxContent>
          </v:textbox>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1EC6" w:rsidRDefault="00F91EC6" w:rsidP="00C25ACC">
      <w:r>
        <w:separator/>
      </w:r>
    </w:p>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footnote>
  <w:footnote w:type="continuationSeparator" w:id="1">
    <w:p w:rsidR="00F91EC6" w:rsidRDefault="00F91EC6" w:rsidP="00C25ACC">
      <w:r>
        <w:continuationSeparator/>
      </w:r>
    </w:p>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p w:rsidR="00F91EC6" w:rsidRDefault="00F91EC6" w:rsidP="00C25AC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1E4" w:rsidRDefault="00522768" w:rsidP="00C25ACC">
    <w:pPr>
      <w:pStyle w:val="Header"/>
    </w:pPr>
    <w:r>
      <w:rPr>
        <w:noProof/>
        <w:lang w:val="en-US" w:eastAsia="en-US"/>
      </w:rPr>
      <w:pict>
        <v:shapetype id="_x0000_t202" coordsize="21600,21600" o:spt="202" path="m,l,21600r21600,l21600,xe">
          <v:stroke joinstyle="miter"/>
          <v:path gradientshapeok="t" o:connecttype="rect"/>
        </v:shapetype>
        <v:shape id="_x0000_s2062" type="#_x0000_t202" style="position:absolute;left:0;text-align:left;margin-left:385.1pt;margin-top:-23.45pt;width:128.25pt;height:30.05pt;z-index:251661824" filled="f" stroked="f">
          <v:textbox style="mso-next-textbox:#_x0000_s2062">
            <w:txbxContent>
              <w:p w:rsidR="00522768" w:rsidRPr="00522768" w:rsidRDefault="00522768" w:rsidP="00112338">
                <w:pPr>
                  <w:rPr>
                    <w:rFonts w:hint="cs"/>
                    <w:rtl/>
                  </w:rPr>
                </w:pPr>
                <w:r w:rsidRPr="00522768">
                  <w:t>SM -FO-18-01</w:t>
                </w:r>
              </w:p>
            </w:txbxContent>
          </v:textbox>
          <w10:wrap anchorx="page"/>
        </v:shape>
      </w:pict>
    </w:r>
    <w:r w:rsidR="00683729">
      <w:rPr>
        <w:noProof/>
        <w:lang w:val="en-US" w:eastAsia="en-US" w:bidi="ar-SA"/>
      </w:rPr>
      <w:pict>
        <v:rect id="_x0000_s2051" style="position:absolute;left:0;text-align:left;margin-left:116.6pt;margin-top:6.6pt;width:375.75pt;height:81.7pt;z-index:251655680" filled="f" stroked="f">
          <v:textbox style="mso-next-textbox:#_x0000_s2051">
            <w:txbxContent>
              <w:p w:rsidR="00BA2C16" w:rsidRPr="00E819F3" w:rsidRDefault="006B41E4" w:rsidP="00C25ACC">
                <w:pPr>
                  <w:rPr>
                    <w:rtl/>
                  </w:rPr>
                </w:pPr>
                <w:r w:rsidRPr="00E819F3">
                  <w:rPr>
                    <w:rtl/>
                  </w:rPr>
                  <w:t xml:space="preserve">گزارش </w:t>
                </w:r>
                <w:r w:rsidR="00EB4331" w:rsidRPr="00E819F3">
                  <w:rPr>
                    <w:rFonts w:hint="cs"/>
                    <w:rtl/>
                  </w:rPr>
                  <w:t>بررسي احراز شرايط پذيرش سهام</w:t>
                </w:r>
                <w:r w:rsidR="00B069F6" w:rsidRPr="00E819F3">
                  <w:rPr>
                    <w:rFonts w:hint="cs"/>
                    <w:rtl/>
                  </w:rPr>
                  <w:t xml:space="preserve"> شرکت</w:t>
                </w:r>
                <w:r w:rsidR="00BA2C16" w:rsidRPr="00E819F3">
                  <w:rPr>
                    <w:rFonts w:hint="cs"/>
                    <w:rtl/>
                  </w:rPr>
                  <w:t xml:space="preserve"> </w:t>
                </w:r>
                <w:r w:rsidR="00E819F3">
                  <w:rPr>
                    <w:rFonts w:hint="cs"/>
                    <w:rtl/>
                  </w:rPr>
                  <w:t>***</w:t>
                </w:r>
              </w:p>
              <w:p w:rsidR="006B41E4" w:rsidRPr="00E819F3" w:rsidRDefault="00BA2C16" w:rsidP="00C25ACC">
                <w:pPr>
                  <w:rPr>
                    <w:rtl/>
                  </w:rPr>
                </w:pPr>
                <w:r w:rsidRPr="00E819F3">
                  <w:rPr>
                    <w:rFonts w:hint="cs"/>
                    <w:rtl/>
                  </w:rPr>
                  <w:t xml:space="preserve"> در</w:t>
                </w:r>
                <w:r w:rsidR="00EC08DD" w:rsidRPr="00E819F3">
                  <w:rPr>
                    <w:rFonts w:hint="cs"/>
                    <w:rtl/>
                  </w:rPr>
                  <w:t xml:space="preserve"> </w:t>
                </w:r>
                <w:r w:rsidRPr="00E819F3">
                  <w:rPr>
                    <w:rFonts w:hint="cs"/>
                    <w:rtl/>
                  </w:rPr>
                  <w:t xml:space="preserve"> بورس اوراق بهادار تهران</w:t>
                </w:r>
              </w:p>
            </w:txbxContent>
          </v:textbox>
        </v:rect>
      </w:pict>
    </w:r>
    <w:r w:rsidR="004C7D8A">
      <w:rPr>
        <w:noProof/>
        <w:lang w:val="en-US" w:eastAsia="en-US"/>
      </w:rPr>
      <w:drawing>
        <wp:anchor distT="0" distB="0" distL="114300" distR="114300" simplePos="0" relativeHeight="251660800" behindDoc="0" locked="0" layoutInCell="1" allowOverlap="1">
          <wp:simplePos x="0" y="0"/>
          <wp:positionH relativeFrom="column">
            <wp:posOffset>234950</wp:posOffset>
          </wp:positionH>
          <wp:positionV relativeFrom="paragraph">
            <wp:posOffset>-169545</wp:posOffset>
          </wp:positionV>
          <wp:extent cx="532765" cy="659765"/>
          <wp:effectExtent l="19050" t="0" r="635" b="0"/>
          <wp:wrapNone/>
          <wp:docPr id="12" name="Picture 12" descr="Untitle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titled-6"/>
                  <pic:cNvPicPr>
                    <a:picLocks noChangeAspect="1" noChangeArrowheads="1"/>
                  </pic:cNvPicPr>
                </pic:nvPicPr>
                <pic:blipFill>
                  <a:blip r:embed="rId1"/>
                  <a:srcRect/>
                  <a:stretch>
                    <a:fillRect/>
                  </a:stretch>
                </pic:blipFill>
                <pic:spPr bwMode="auto">
                  <a:xfrm>
                    <a:off x="0" y="0"/>
                    <a:ext cx="532765" cy="659765"/>
                  </a:xfrm>
                  <a:prstGeom prst="rect">
                    <a:avLst/>
                  </a:prstGeom>
                  <a:noFill/>
                  <a:ln w="9525">
                    <a:noFill/>
                    <a:miter lim="800000"/>
                    <a:headEnd/>
                    <a:tailEnd/>
                  </a:ln>
                </pic:spPr>
              </pic:pic>
            </a:graphicData>
          </a:graphic>
        </wp:anchor>
      </w:drawing>
    </w:r>
    <w:r w:rsidR="00683729">
      <w:rPr>
        <w:noProof/>
        <w:lang w:val="en-US" w:eastAsia="en-US" w:bidi="ar-SA"/>
      </w:rPr>
      <w:pict>
        <v:line id="_x0000_s2054" style="position:absolute;left:0;text-align:left;flip:x;z-index:251656704;mso-position-horizontal-relative:text;mso-position-vertical-relative:text" from="0,91.3pt" to="450pt,91.3pt" strokeweight="1.5pt"/>
      </w:pict>
    </w:r>
  </w:p>
  <w:p w:rsidR="006B41E4" w:rsidRDefault="00683729" w:rsidP="00C25ACC">
    <w:r>
      <w:rPr>
        <w:noProof/>
        <w:lang w:val="en-US" w:eastAsia="en-US" w:bidi="ar-SA"/>
      </w:rPr>
      <w:pict>
        <v:shape id="_x0000_s2059" type="#_x0000_t202" style="position:absolute;left:0;text-align:left;margin-left:-23.95pt;margin-top:27.3pt;width:126.75pt;height:25.4pt;z-index:251659776" filled="f" stroked="f">
          <v:textbox style="mso-next-textbox:#_x0000_s2059">
            <w:txbxContent>
              <w:p w:rsidR="00021108" w:rsidRPr="00021108" w:rsidRDefault="00021108" w:rsidP="00C25ACC">
                <w:pPr>
                  <w:rPr>
                    <w:rtl/>
                  </w:rPr>
                </w:pPr>
                <w:r w:rsidRPr="00021108">
                  <w:rPr>
                    <w:rtl/>
                  </w:rPr>
                  <w:t>(شرکت سهامی عام)</w:t>
                </w:r>
              </w:p>
              <w:p w:rsidR="00021108" w:rsidRPr="00021108" w:rsidRDefault="00021108" w:rsidP="00C25ACC"/>
              <w:p w:rsidR="006B41E4" w:rsidRPr="00021108" w:rsidRDefault="006B41E4" w:rsidP="00C25ACC"/>
              <w:p w:rsidR="006B41E4" w:rsidRPr="00021108" w:rsidRDefault="006B41E4" w:rsidP="00C25ACC"/>
              <w:p w:rsidR="006B41E4" w:rsidRPr="00021108" w:rsidRDefault="006B41E4" w:rsidP="00C25ACC"/>
            </w:txbxContent>
          </v:textbox>
          <w10:wrap anchorx="page"/>
        </v:shape>
      </w:pict>
    </w:r>
    <w:r>
      <w:rPr>
        <w:noProof/>
        <w:lang w:val="en-US" w:eastAsia="en-US" w:bidi="ar-SA"/>
      </w:rPr>
      <w:pict>
        <v:shape id="_x0000_s2058" type="#_x0000_t202" style="position:absolute;left:0;text-align:left;margin-left:-23.2pt;margin-top:7.95pt;width:126pt;height:37.65pt;z-index:251658752" filled="f" stroked="f">
          <v:textbox style="mso-next-textbox:#_x0000_s2058">
            <w:txbxContent>
              <w:p w:rsidR="00021108" w:rsidRPr="00E819F3" w:rsidRDefault="00021108" w:rsidP="00C25ACC">
                <w:pPr>
                  <w:rPr>
                    <w:rtl/>
                  </w:rPr>
                </w:pPr>
                <w:r w:rsidRPr="00E819F3">
                  <w:rPr>
                    <w:rtl/>
                  </w:rPr>
                  <w:t>بورس اوراق بهادار تهران</w:t>
                </w:r>
              </w:p>
            </w:txbxContent>
          </v:textbox>
          <w10:wrap anchorx="page"/>
        </v:shape>
      </w:pict>
    </w:r>
  </w:p>
  <w:p w:rsidR="006B41E4" w:rsidRDefault="006B41E4" w:rsidP="00C25ACC"/>
  <w:p w:rsidR="00000000" w:rsidRPr="00053A74" w:rsidRDefault="00F91EC6">
    <w:pPr>
      <w:rPr>
        <w:sz w:val="16"/>
        <w:szCs w:val="16"/>
        <w:rt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2E10"/>
    <w:multiLevelType w:val="hybridMultilevel"/>
    <w:tmpl w:val="8F90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D66A8"/>
    <w:multiLevelType w:val="hybridMultilevel"/>
    <w:tmpl w:val="249E0A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024568"/>
    <w:multiLevelType w:val="hybridMultilevel"/>
    <w:tmpl w:val="E9146BF6"/>
    <w:lvl w:ilvl="0" w:tplc="0409000F">
      <w:start w:val="1"/>
      <w:numFmt w:val="decimal"/>
      <w:lvlText w:val="%1."/>
      <w:lvlJc w:val="left"/>
      <w:pPr>
        <w:tabs>
          <w:tab w:val="num" w:pos="720"/>
        </w:tabs>
        <w:ind w:left="720" w:hanging="360"/>
      </w:pPr>
    </w:lvl>
    <w:lvl w:ilvl="1" w:tplc="8946A920">
      <w:start w:val="1"/>
      <w:numFmt w:val="decimal"/>
      <w:lvlText w:val="%2-5."/>
      <w:lvlJc w:val="left"/>
      <w:pPr>
        <w:tabs>
          <w:tab w:val="num" w:pos="1817"/>
        </w:tabs>
        <w:ind w:left="1761" w:hanging="681"/>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566BF2"/>
    <w:multiLevelType w:val="multilevel"/>
    <w:tmpl w:val="E3E447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621D3F"/>
    <w:multiLevelType w:val="hybridMultilevel"/>
    <w:tmpl w:val="88604A32"/>
    <w:lvl w:ilvl="0" w:tplc="0409000F">
      <w:start w:val="1"/>
      <w:numFmt w:val="decimal"/>
      <w:lvlText w:val="%1."/>
      <w:lvlJc w:val="left"/>
      <w:pPr>
        <w:tabs>
          <w:tab w:val="num" w:pos="720"/>
        </w:tabs>
        <w:ind w:left="720" w:hanging="360"/>
      </w:pPr>
    </w:lvl>
    <w:lvl w:ilvl="1" w:tplc="7FD45ADE">
      <w:start w:val="2"/>
      <w:numFmt w:val="bullet"/>
      <w:lvlText w:val="-"/>
      <w:lvlJc w:val="left"/>
      <w:pPr>
        <w:ind w:left="1440" w:hanging="360"/>
      </w:pPr>
      <w:rPr>
        <w:rFonts w:ascii="Times New Roman" w:eastAsia="Times New Roman" w:hAnsi="Times New Roman" w:cs="B Mitra"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F45DB0"/>
    <w:multiLevelType w:val="hybridMultilevel"/>
    <w:tmpl w:val="86226E10"/>
    <w:lvl w:ilvl="0" w:tplc="22E4F1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853B15"/>
    <w:multiLevelType w:val="hybridMultilevel"/>
    <w:tmpl w:val="71846074"/>
    <w:lvl w:ilvl="0" w:tplc="0409000F">
      <w:start w:val="1"/>
      <w:numFmt w:val="decimal"/>
      <w:lvlText w:val="%1."/>
      <w:lvlJc w:val="left"/>
      <w:pPr>
        <w:tabs>
          <w:tab w:val="num" w:pos="720"/>
        </w:tabs>
        <w:ind w:left="720" w:hanging="360"/>
      </w:pPr>
    </w:lvl>
    <w:lvl w:ilvl="1" w:tplc="14F4577A">
      <w:start w:val="1"/>
      <w:numFmt w:val="decimal"/>
      <w:lvlText w:val="%2-5."/>
      <w:lvlJc w:val="left"/>
      <w:pPr>
        <w:tabs>
          <w:tab w:val="num" w:pos="1814"/>
        </w:tabs>
        <w:ind w:left="1758" w:hanging="681"/>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7982DFD"/>
    <w:multiLevelType w:val="hybridMultilevel"/>
    <w:tmpl w:val="11FAF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A40663"/>
    <w:multiLevelType w:val="hybridMultilevel"/>
    <w:tmpl w:val="08D05E3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460130"/>
    <w:multiLevelType w:val="hybridMultilevel"/>
    <w:tmpl w:val="85B29BFA"/>
    <w:lvl w:ilvl="0" w:tplc="8BC46A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5C38BD"/>
    <w:multiLevelType w:val="hybridMultilevel"/>
    <w:tmpl w:val="5F4431C0"/>
    <w:lvl w:ilvl="0" w:tplc="32E4D81C">
      <w:start w:val="1"/>
      <w:numFmt w:val="bullet"/>
      <w:lvlText w:val="-"/>
      <w:lvlJc w:val="left"/>
      <w:pPr>
        <w:tabs>
          <w:tab w:val="num" w:pos="720"/>
        </w:tabs>
        <w:ind w:left="720" w:hanging="360"/>
      </w:pPr>
      <w:rPr>
        <w:rFonts w:ascii="B Mitra" w:eastAsia="Times New Roman" w:hAnsi="B Mitra" w:cs="B Mitra"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5802636"/>
    <w:multiLevelType w:val="hybridMultilevel"/>
    <w:tmpl w:val="593A71E6"/>
    <w:lvl w:ilvl="0" w:tplc="FF18C9A6">
      <w:start w:val="1"/>
      <w:numFmt w:val="decimal"/>
      <w:lvlText w:val="(%1)"/>
      <w:lvlJc w:val="left"/>
      <w:pPr>
        <w:tabs>
          <w:tab w:val="num" w:pos="1985"/>
        </w:tabs>
        <w:ind w:left="1985" w:hanging="545"/>
      </w:pPr>
      <w:rPr>
        <w:rFont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3CF40A68"/>
    <w:multiLevelType w:val="multilevel"/>
    <w:tmpl w:val="DF845F98"/>
    <w:lvl w:ilvl="0">
      <w:start w:val="1"/>
      <w:numFmt w:val="decimal"/>
      <w:lvlText w:val="%1."/>
      <w:lvlJc w:val="left"/>
      <w:pPr>
        <w:tabs>
          <w:tab w:val="num" w:pos="720"/>
        </w:tabs>
        <w:ind w:left="720" w:hanging="360"/>
      </w:pPr>
    </w:lvl>
    <w:lvl w:ilvl="1">
      <w:start w:val="1"/>
      <w:numFmt w:val="decimal"/>
      <w:lvlText w:val="%2-4)"/>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0B47128"/>
    <w:multiLevelType w:val="hybridMultilevel"/>
    <w:tmpl w:val="ED6E3992"/>
    <w:lvl w:ilvl="0" w:tplc="ADF2B2A8">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720"/>
        </w:tabs>
        <w:ind w:left="720" w:hanging="360"/>
      </w:pPr>
      <w:rPr>
        <w:rFonts w:hint="default"/>
      </w:rPr>
    </w:lvl>
    <w:lvl w:ilvl="2" w:tplc="0409000F">
      <w:start w:val="1"/>
      <w:numFmt w:val="decimal"/>
      <w:lvlText w:val="%3."/>
      <w:lvlJc w:val="left"/>
      <w:pPr>
        <w:tabs>
          <w:tab w:val="num" w:pos="1620"/>
        </w:tabs>
        <w:ind w:left="1620" w:hanging="360"/>
      </w:pPr>
      <w:rPr>
        <w:rFonts w:hint="default"/>
      </w:r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
    <w:nsid w:val="43A137A9"/>
    <w:multiLevelType w:val="hybridMultilevel"/>
    <w:tmpl w:val="23CA6D26"/>
    <w:lvl w:ilvl="0" w:tplc="35C2C42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EE0A44"/>
    <w:multiLevelType w:val="hybridMultilevel"/>
    <w:tmpl w:val="F7A076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B277A0"/>
    <w:multiLevelType w:val="hybridMultilevel"/>
    <w:tmpl w:val="251AA7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7F6422E"/>
    <w:multiLevelType w:val="hybridMultilevel"/>
    <w:tmpl w:val="50C8651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58B3051D"/>
    <w:multiLevelType w:val="hybridMultilevel"/>
    <w:tmpl w:val="15863ACE"/>
    <w:lvl w:ilvl="0" w:tplc="F86281F4">
      <w:numFmt w:val="bullet"/>
      <w:lvlText w:val=""/>
      <w:lvlJc w:val="left"/>
      <w:pPr>
        <w:ind w:left="720" w:hanging="360"/>
      </w:pPr>
      <w:rPr>
        <w:rFonts w:ascii="Symbol" w:eastAsia="Times New Roman"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FC4654"/>
    <w:multiLevelType w:val="hybridMultilevel"/>
    <w:tmpl w:val="E110B1C0"/>
    <w:lvl w:ilvl="0" w:tplc="0409000F">
      <w:start w:val="1"/>
      <w:numFmt w:val="decimal"/>
      <w:lvlText w:val="%1."/>
      <w:lvlJc w:val="left"/>
      <w:pPr>
        <w:tabs>
          <w:tab w:val="num" w:pos="720"/>
        </w:tabs>
        <w:ind w:left="720" w:hanging="360"/>
      </w:pPr>
    </w:lvl>
    <w:lvl w:ilvl="1" w:tplc="FFEA7560">
      <w:start w:val="1"/>
      <w:numFmt w:val="decimal"/>
      <w:lvlText w:val="%2-4)"/>
      <w:lvlJc w:val="left"/>
      <w:pPr>
        <w:tabs>
          <w:tab w:val="num" w:pos="1134"/>
        </w:tabs>
        <w:ind w:left="1588" w:hanging="508"/>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1970220"/>
    <w:multiLevelType w:val="hybridMultilevel"/>
    <w:tmpl w:val="72A22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E14279"/>
    <w:multiLevelType w:val="hybridMultilevel"/>
    <w:tmpl w:val="B5FACB04"/>
    <w:lvl w:ilvl="0" w:tplc="3A1A4ACA">
      <w:start w:val="1"/>
      <w:numFmt w:val="decimal"/>
      <w:lvlText w:val="(%1)"/>
      <w:lvlJc w:val="left"/>
      <w:pPr>
        <w:tabs>
          <w:tab w:val="num" w:pos="1191"/>
        </w:tabs>
        <w:ind w:left="1247" w:hanging="527"/>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1"/>
  </w:num>
  <w:num w:numId="2">
    <w:abstractNumId w:val="11"/>
  </w:num>
  <w:num w:numId="3">
    <w:abstractNumId w:val="19"/>
  </w:num>
  <w:num w:numId="4">
    <w:abstractNumId w:val="3"/>
  </w:num>
  <w:num w:numId="5">
    <w:abstractNumId w:val="12"/>
  </w:num>
  <w:num w:numId="6">
    <w:abstractNumId w:val="13"/>
  </w:num>
  <w:num w:numId="7">
    <w:abstractNumId w:val="1"/>
  </w:num>
  <w:num w:numId="8">
    <w:abstractNumId w:val="10"/>
  </w:num>
  <w:num w:numId="9">
    <w:abstractNumId w:val="6"/>
  </w:num>
  <w:num w:numId="10">
    <w:abstractNumId w:val="8"/>
  </w:num>
  <w:num w:numId="11">
    <w:abstractNumId w:val="4"/>
  </w:num>
  <w:num w:numId="12">
    <w:abstractNumId w:val="20"/>
  </w:num>
  <w:num w:numId="13">
    <w:abstractNumId w:val="5"/>
  </w:num>
  <w:num w:numId="14">
    <w:abstractNumId w:val="16"/>
  </w:num>
  <w:num w:numId="15">
    <w:abstractNumId w:val="0"/>
  </w:num>
  <w:num w:numId="16">
    <w:abstractNumId w:val="9"/>
  </w:num>
  <w:num w:numId="17">
    <w:abstractNumId w:val="7"/>
  </w:num>
  <w:num w:numId="18">
    <w:abstractNumId w:val="17"/>
  </w:num>
  <w:num w:numId="19">
    <w:abstractNumId w:val="2"/>
  </w:num>
  <w:num w:numId="20">
    <w:abstractNumId w:val="15"/>
  </w:num>
  <w:num w:numId="21">
    <w:abstractNumId w:val="14"/>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hdrShapeDefaults>
    <o:shapedefaults v:ext="edit" spidmax="35842">
      <o:colormenu v:ext="edit" fillcolor="none" strokecolor="none"/>
    </o:shapedefaults>
    <o:shapelayout v:ext="edit">
      <o:idmap v:ext="edit" data="2"/>
    </o:shapelayout>
  </w:hdrShapeDefaults>
  <w:footnotePr>
    <w:footnote w:id="0"/>
    <w:footnote w:id="1"/>
  </w:footnotePr>
  <w:endnotePr>
    <w:endnote w:id="0"/>
    <w:endnote w:id="1"/>
  </w:endnotePr>
  <w:compat/>
  <w:rsids>
    <w:rsidRoot w:val="006D3C4E"/>
    <w:rsid w:val="000008C6"/>
    <w:rsid w:val="000014FD"/>
    <w:rsid w:val="000032C0"/>
    <w:rsid w:val="00013E9B"/>
    <w:rsid w:val="00021108"/>
    <w:rsid w:val="00022B77"/>
    <w:rsid w:val="0002364F"/>
    <w:rsid w:val="00026C7D"/>
    <w:rsid w:val="00031A57"/>
    <w:rsid w:val="00044BBA"/>
    <w:rsid w:val="00053A74"/>
    <w:rsid w:val="00054267"/>
    <w:rsid w:val="000663B3"/>
    <w:rsid w:val="000721A2"/>
    <w:rsid w:val="0007718C"/>
    <w:rsid w:val="00082A53"/>
    <w:rsid w:val="000947C7"/>
    <w:rsid w:val="00094B91"/>
    <w:rsid w:val="000A01E3"/>
    <w:rsid w:val="000A7484"/>
    <w:rsid w:val="000B15E5"/>
    <w:rsid w:val="000B366D"/>
    <w:rsid w:val="000B3D19"/>
    <w:rsid w:val="000C390D"/>
    <w:rsid w:val="000D1566"/>
    <w:rsid w:val="000D1F80"/>
    <w:rsid w:val="000D551E"/>
    <w:rsid w:val="000F21E3"/>
    <w:rsid w:val="000F4892"/>
    <w:rsid w:val="000F4CF9"/>
    <w:rsid w:val="000F7E47"/>
    <w:rsid w:val="00112338"/>
    <w:rsid w:val="00114834"/>
    <w:rsid w:val="00123F94"/>
    <w:rsid w:val="001274F9"/>
    <w:rsid w:val="001307EA"/>
    <w:rsid w:val="00133468"/>
    <w:rsid w:val="00135B50"/>
    <w:rsid w:val="00141B8B"/>
    <w:rsid w:val="0014431A"/>
    <w:rsid w:val="00146D51"/>
    <w:rsid w:val="00147DB4"/>
    <w:rsid w:val="001649CD"/>
    <w:rsid w:val="00166F6B"/>
    <w:rsid w:val="001719AB"/>
    <w:rsid w:val="00176C19"/>
    <w:rsid w:val="001863C9"/>
    <w:rsid w:val="001878F1"/>
    <w:rsid w:val="001903DD"/>
    <w:rsid w:val="00193928"/>
    <w:rsid w:val="00196EE7"/>
    <w:rsid w:val="001B7270"/>
    <w:rsid w:val="001C1430"/>
    <w:rsid w:val="001C4886"/>
    <w:rsid w:val="001F319D"/>
    <w:rsid w:val="00200264"/>
    <w:rsid w:val="00202534"/>
    <w:rsid w:val="00202A10"/>
    <w:rsid w:val="0020317E"/>
    <w:rsid w:val="00206F42"/>
    <w:rsid w:val="002070C3"/>
    <w:rsid w:val="002077D6"/>
    <w:rsid w:val="0022448B"/>
    <w:rsid w:val="002361AE"/>
    <w:rsid w:val="00241542"/>
    <w:rsid w:val="002421E6"/>
    <w:rsid w:val="00243140"/>
    <w:rsid w:val="00243E31"/>
    <w:rsid w:val="00261E1D"/>
    <w:rsid w:val="00263EFA"/>
    <w:rsid w:val="00265E2A"/>
    <w:rsid w:val="00271142"/>
    <w:rsid w:val="00273E83"/>
    <w:rsid w:val="00283342"/>
    <w:rsid w:val="00293079"/>
    <w:rsid w:val="002A63F5"/>
    <w:rsid w:val="002B69EB"/>
    <w:rsid w:val="002D266E"/>
    <w:rsid w:val="002D56C9"/>
    <w:rsid w:val="002E1739"/>
    <w:rsid w:val="002E1F74"/>
    <w:rsid w:val="002E37D4"/>
    <w:rsid w:val="002E6C7E"/>
    <w:rsid w:val="002F2BDF"/>
    <w:rsid w:val="002F569E"/>
    <w:rsid w:val="002F6BCE"/>
    <w:rsid w:val="00302348"/>
    <w:rsid w:val="00302E87"/>
    <w:rsid w:val="00321A2E"/>
    <w:rsid w:val="00322270"/>
    <w:rsid w:val="00324CBC"/>
    <w:rsid w:val="00326383"/>
    <w:rsid w:val="003306AB"/>
    <w:rsid w:val="003317A9"/>
    <w:rsid w:val="00342627"/>
    <w:rsid w:val="00345095"/>
    <w:rsid w:val="00355779"/>
    <w:rsid w:val="00356984"/>
    <w:rsid w:val="003574F7"/>
    <w:rsid w:val="0035759B"/>
    <w:rsid w:val="00361388"/>
    <w:rsid w:val="003627D4"/>
    <w:rsid w:val="00372D80"/>
    <w:rsid w:val="00374FA6"/>
    <w:rsid w:val="00375FA2"/>
    <w:rsid w:val="00376888"/>
    <w:rsid w:val="00380E2F"/>
    <w:rsid w:val="003828E1"/>
    <w:rsid w:val="00382C79"/>
    <w:rsid w:val="00392E8D"/>
    <w:rsid w:val="0039545A"/>
    <w:rsid w:val="0039560B"/>
    <w:rsid w:val="0039718E"/>
    <w:rsid w:val="003A1DBE"/>
    <w:rsid w:val="003A2C02"/>
    <w:rsid w:val="003B1C58"/>
    <w:rsid w:val="003B20B6"/>
    <w:rsid w:val="003C1E36"/>
    <w:rsid w:val="003C400D"/>
    <w:rsid w:val="003C63F8"/>
    <w:rsid w:val="003D497F"/>
    <w:rsid w:val="003F0B30"/>
    <w:rsid w:val="003F120E"/>
    <w:rsid w:val="003F2DA9"/>
    <w:rsid w:val="003F76F0"/>
    <w:rsid w:val="004024EF"/>
    <w:rsid w:val="00404FE2"/>
    <w:rsid w:val="00407118"/>
    <w:rsid w:val="0042415C"/>
    <w:rsid w:val="00427FFB"/>
    <w:rsid w:val="004330AA"/>
    <w:rsid w:val="004334D2"/>
    <w:rsid w:val="00437517"/>
    <w:rsid w:val="00443A1B"/>
    <w:rsid w:val="00452370"/>
    <w:rsid w:val="00452A1E"/>
    <w:rsid w:val="00452DAE"/>
    <w:rsid w:val="00452F8C"/>
    <w:rsid w:val="004675A3"/>
    <w:rsid w:val="00473F74"/>
    <w:rsid w:val="00476291"/>
    <w:rsid w:val="0048299D"/>
    <w:rsid w:val="00490139"/>
    <w:rsid w:val="00495976"/>
    <w:rsid w:val="004A2E7E"/>
    <w:rsid w:val="004B0A20"/>
    <w:rsid w:val="004B568A"/>
    <w:rsid w:val="004B6E53"/>
    <w:rsid w:val="004C079E"/>
    <w:rsid w:val="004C7D8A"/>
    <w:rsid w:val="004D28D6"/>
    <w:rsid w:val="004E2ACE"/>
    <w:rsid w:val="004E7AEA"/>
    <w:rsid w:val="004F015E"/>
    <w:rsid w:val="004F0988"/>
    <w:rsid w:val="004F6B8E"/>
    <w:rsid w:val="005017D3"/>
    <w:rsid w:val="00502CCC"/>
    <w:rsid w:val="00506372"/>
    <w:rsid w:val="0051132B"/>
    <w:rsid w:val="00522768"/>
    <w:rsid w:val="00533F73"/>
    <w:rsid w:val="00555F6E"/>
    <w:rsid w:val="005636A6"/>
    <w:rsid w:val="005717CD"/>
    <w:rsid w:val="00580799"/>
    <w:rsid w:val="0058727B"/>
    <w:rsid w:val="00590C05"/>
    <w:rsid w:val="005936DE"/>
    <w:rsid w:val="0059483B"/>
    <w:rsid w:val="00594BFE"/>
    <w:rsid w:val="005A0A28"/>
    <w:rsid w:val="005A173D"/>
    <w:rsid w:val="005B1F8D"/>
    <w:rsid w:val="005C02A4"/>
    <w:rsid w:val="005C6051"/>
    <w:rsid w:val="005C787F"/>
    <w:rsid w:val="005D4BE0"/>
    <w:rsid w:val="005E358B"/>
    <w:rsid w:val="005F2913"/>
    <w:rsid w:val="005F50EB"/>
    <w:rsid w:val="005F62EB"/>
    <w:rsid w:val="006023D9"/>
    <w:rsid w:val="00602660"/>
    <w:rsid w:val="006116DE"/>
    <w:rsid w:val="00617A5A"/>
    <w:rsid w:val="00623BC1"/>
    <w:rsid w:val="00630245"/>
    <w:rsid w:val="00630291"/>
    <w:rsid w:val="00631BC8"/>
    <w:rsid w:val="006430B9"/>
    <w:rsid w:val="00646F07"/>
    <w:rsid w:val="0065191B"/>
    <w:rsid w:val="00654986"/>
    <w:rsid w:val="00660A7C"/>
    <w:rsid w:val="00663576"/>
    <w:rsid w:val="0066475E"/>
    <w:rsid w:val="00671EDD"/>
    <w:rsid w:val="00674009"/>
    <w:rsid w:val="00674612"/>
    <w:rsid w:val="00683729"/>
    <w:rsid w:val="0068593C"/>
    <w:rsid w:val="00697DD0"/>
    <w:rsid w:val="006A372D"/>
    <w:rsid w:val="006A5751"/>
    <w:rsid w:val="006B41E4"/>
    <w:rsid w:val="006B6C37"/>
    <w:rsid w:val="006C107C"/>
    <w:rsid w:val="006C20A4"/>
    <w:rsid w:val="006D0030"/>
    <w:rsid w:val="006D3C4E"/>
    <w:rsid w:val="006E111A"/>
    <w:rsid w:val="006E2C4C"/>
    <w:rsid w:val="006E7CD7"/>
    <w:rsid w:val="006F2537"/>
    <w:rsid w:val="006F2D7B"/>
    <w:rsid w:val="006F6886"/>
    <w:rsid w:val="006F79E5"/>
    <w:rsid w:val="006F7BB1"/>
    <w:rsid w:val="00705A79"/>
    <w:rsid w:val="007063C1"/>
    <w:rsid w:val="00710115"/>
    <w:rsid w:val="007131D4"/>
    <w:rsid w:val="00720B02"/>
    <w:rsid w:val="007262EF"/>
    <w:rsid w:val="00730E14"/>
    <w:rsid w:val="00733A20"/>
    <w:rsid w:val="00733EE9"/>
    <w:rsid w:val="007414A5"/>
    <w:rsid w:val="007512A1"/>
    <w:rsid w:val="007657D0"/>
    <w:rsid w:val="007722FB"/>
    <w:rsid w:val="00776CA7"/>
    <w:rsid w:val="00777BE1"/>
    <w:rsid w:val="0078249D"/>
    <w:rsid w:val="00787CB8"/>
    <w:rsid w:val="00791A67"/>
    <w:rsid w:val="007942FF"/>
    <w:rsid w:val="007A309C"/>
    <w:rsid w:val="007A5A9D"/>
    <w:rsid w:val="007B464F"/>
    <w:rsid w:val="007B4A39"/>
    <w:rsid w:val="007C1EB4"/>
    <w:rsid w:val="007C4A62"/>
    <w:rsid w:val="007C5FE0"/>
    <w:rsid w:val="007C6FA1"/>
    <w:rsid w:val="007D7DB7"/>
    <w:rsid w:val="007E1C54"/>
    <w:rsid w:val="00803032"/>
    <w:rsid w:val="008155F8"/>
    <w:rsid w:val="00822F36"/>
    <w:rsid w:val="00824DC6"/>
    <w:rsid w:val="0083567D"/>
    <w:rsid w:val="00840DFF"/>
    <w:rsid w:val="00855F2A"/>
    <w:rsid w:val="00860260"/>
    <w:rsid w:val="00864B00"/>
    <w:rsid w:val="00867FE0"/>
    <w:rsid w:val="00870309"/>
    <w:rsid w:val="00871297"/>
    <w:rsid w:val="00884F7C"/>
    <w:rsid w:val="008869C3"/>
    <w:rsid w:val="00895071"/>
    <w:rsid w:val="008C0FE5"/>
    <w:rsid w:val="008C1DE9"/>
    <w:rsid w:val="008D4D55"/>
    <w:rsid w:val="008E45E2"/>
    <w:rsid w:val="0091205F"/>
    <w:rsid w:val="009155F6"/>
    <w:rsid w:val="00920103"/>
    <w:rsid w:val="00921822"/>
    <w:rsid w:val="00921A00"/>
    <w:rsid w:val="009225F0"/>
    <w:rsid w:val="00925EE8"/>
    <w:rsid w:val="00930A9E"/>
    <w:rsid w:val="009376C3"/>
    <w:rsid w:val="00954308"/>
    <w:rsid w:val="00962AB0"/>
    <w:rsid w:val="00981A4D"/>
    <w:rsid w:val="00983CD2"/>
    <w:rsid w:val="0099039E"/>
    <w:rsid w:val="00993894"/>
    <w:rsid w:val="009A2E3C"/>
    <w:rsid w:val="009B7424"/>
    <w:rsid w:val="009B776F"/>
    <w:rsid w:val="009C46A4"/>
    <w:rsid w:val="009D21D8"/>
    <w:rsid w:val="009D61C3"/>
    <w:rsid w:val="009D6AED"/>
    <w:rsid w:val="009E6E99"/>
    <w:rsid w:val="009E7A27"/>
    <w:rsid w:val="009F3E41"/>
    <w:rsid w:val="009F4509"/>
    <w:rsid w:val="009F6185"/>
    <w:rsid w:val="00A153F1"/>
    <w:rsid w:val="00A27C2E"/>
    <w:rsid w:val="00A27DC4"/>
    <w:rsid w:val="00A31F1D"/>
    <w:rsid w:val="00A42408"/>
    <w:rsid w:val="00A43E8B"/>
    <w:rsid w:val="00A44972"/>
    <w:rsid w:val="00A51FA8"/>
    <w:rsid w:val="00A54D99"/>
    <w:rsid w:val="00A576C5"/>
    <w:rsid w:val="00A64FB2"/>
    <w:rsid w:val="00A65184"/>
    <w:rsid w:val="00A72502"/>
    <w:rsid w:val="00A7361F"/>
    <w:rsid w:val="00A73B3B"/>
    <w:rsid w:val="00A9023C"/>
    <w:rsid w:val="00A90B29"/>
    <w:rsid w:val="00A91C72"/>
    <w:rsid w:val="00A95DCC"/>
    <w:rsid w:val="00AA19CC"/>
    <w:rsid w:val="00AA52F9"/>
    <w:rsid w:val="00AB5FBC"/>
    <w:rsid w:val="00AB6CBB"/>
    <w:rsid w:val="00AD1B1F"/>
    <w:rsid w:val="00AD1DCA"/>
    <w:rsid w:val="00AD29CD"/>
    <w:rsid w:val="00AD3205"/>
    <w:rsid w:val="00AE54BB"/>
    <w:rsid w:val="00AF2257"/>
    <w:rsid w:val="00B040CC"/>
    <w:rsid w:val="00B0605A"/>
    <w:rsid w:val="00B069F6"/>
    <w:rsid w:val="00B2083E"/>
    <w:rsid w:val="00B2627B"/>
    <w:rsid w:val="00B26838"/>
    <w:rsid w:val="00B446CA"/>
    <w:rsid w:val="00B558BC"/>
    <w:rsid w:val="00B65C88"/>
    <w:rsid w:val="00B7235B"/>
    <w:rsid w:val="00B72AA4"/>
    <w:rsid w:val="00B7503A"/>
    <w:rsid w:val="00B77824"/>
    <w:rsid w:val="00B848F3"/>
    <w:rsid w:val="00BA20A5"/>
    <w:rsid w:val="00BA2C16"/>
    <w:rsid w:val="00BB077C"/>
    <w:rsid w:val="00BB2539"/>
    <w:rsid w:val="00BB34BF"/>
    <w:rsid w:val="00BC2D86"/>
    <w:rsid w:val="00BC45C4"/>
    <w:rsid w:val="00BC4A39"/>
    <w:rsid w:val="00BC6DCF"/>
    <w:rsid w:val="00BD1F12"/>
    <w:rsid w:val="00BE00B2"/>
    <w:rsid w:val="00BF299F"/>
    <w:rsid w:val="00BF4721"/>
    <w:rsid w:val="00BF6EBF"/>
    <w:rsid w:val="00C011A2"/>
    <w:rsid w:val="00C0157A"/>
    <w:rsid w:val="00C01F4C"/>
    <w:rsid w:val="00C06AAD"/>
    <w:rsid w:val="00C10182"/>
    <w:rsid w:val="00C10244"/>
    <w:rsid w:val="00C21768"/>
    <w:rsid w:val="00C25ACC"/>
    <w:rsid w:val="00C275F6"/>
    <w:rsid w:val="00C363E1"/>
    <w:rsid w:val="00C56274"/>
    <w:rsid w:val="00C57B5C"/>
    <w:rsid w:val="00C65EE4"/>
    <w:rsid w:val="00C66603"/>
    <w:rsid w:val="00C6678E"/>
    <w:rsid w:val="00C708C3"/>
    <w:rsid w:val="00C82D8B"/>
    <w:rsid w:val="00C8437A"/>
    <w:rsid w:val="00C87DC7"/>
    <w:rsid w:val="00C90C36"/>
    <w:rsid w:val="00C935F2"/>
    <w:rsid w:val="00C93BB2"/>
    <w:rsid w:val="00C95CE1"/>
    <w:rsid w:val="00CB1D8B"/>
    <w:rsid w:val="00CB3D07"/>
    <w:rsid w:val="00CB3D78"/>
    <w:rsid w:val="00CB45FF"/>
    <w:rsid w:val="00CB59A3"/>
    <w:rsid w:val="00CC0515"/>
    <w:rsid w:val="00CC12C9"/>
    <w:rsid w:val="00CC3E3C"/>
    <w:rsid w:val="00CC3EB3"/>
    <w:rsid w:val="00CC53FC"/>
    <w:rsid w:val="00CD13C5"/>
    <w:rsid w:val="00CD3F23"/>
    <w:rsid w:val="00CD6F94"/>
    <w:rsid w:val="00CE5D56"/>
    <w:rsid w:val="00CF22B3"/>
    <w:rsid w:val="00D0245F"/>
    <w:rsid w:val="00D04EEC"/>
    <w:rsid w:val="00D105E7"/>
    <w:rsid w:val="00D13687"/>
    <w:rsid w:val="00D2250C"/>
    <w:rsid w:val="00D244F5"/>
    <w:rsid w:val="00D24C39"/>
    <w:rsid w:val="00D254E6"/>
    <w:rsid w:val="00D25634"/>
    <w:rsid w:val="00D3736F"/>
    <w:rsid w:val="00D4396A"/>
    <w:rsid w:val="00D5255A"/>
    <w:rsid w:val="00D53198"/>
    <w:rsid w:val="00D548D2"/>
    <w:rsid w:val="00D56891"/>
    <w:rsid w:val="00D57360"/>
    <w:rsid w:val="00D67F56"/>
    <w:rsid w:val="00D777B3"/>
    <w:rsid w:val="00D77CF5"/>
    <w:rsid w:val="00D8468E"/>
    <w:rsid w:val="00D85605"/>
    <w:rsid w:val="00D97CBB"/>
    <w:rsid w:val="00DA311F"/>
    <w:rsid w:val="00DB2A70"/>
    <w:rsid w:val="00DB5CC6"/>
    <w:rsid w:val="00DC1C25"/>
    <w:rsid w:val="00DC6EA7"/>
    <w:rsid w:val="00DD2394"/>
    <w:rsid w:val="00DD483F"/>
    <w:rsid w:val="00DD6FB3"/>
    <w:rsid w:val="00DE00C0"/>
    <w:rsid w:val="00DE03BD"/>
    <w:rsid w:val="00DF66AA"/>
    <w:rsid w:val="00E00E9E"/>
    <w:rsid w:val="00E01170"/>
    <w:rsid w:val="00E01DCF"/>
    <w:rsid w:val="00E071A2"/>
    <w:rsid w:val="00E07466"/>
    <w:rsid w:val="00E101F6"/>
    <w:rsid w:val="00E1249B"/>
    <w:rsid w:val="00E237F7"/>
    <w:rsid w:val="00E24FDA"/>
    <w:rsid w:val="00E26903"/>
    <w:rsid w:val="00E32BE4"/>
    <w:rsid w:val="00E35648"/>
    <w:rsid w:val="00E35704"/>
    <w:rsid w:val="00E64627"/>
    <w:rsid w:val="00E665CC"/>
    <w:rsid w:val="00E66E48"/>
    <w:rsid w:val="00E7051B"/>
    <w:rsid w:val="00E7216A"/>
    <w:rsid w:val="00E74D61"/>
    <w:rsid w:val="00E7654C"/>
    <w:rsid w:val="00E768EF"/>
    <w:rsid w:val="00E771BA"/>
    <w:rsid w:val="00E81983"/>
    <w:rsid w:val="00E819F3"/>
    <w:rsid w:val="00E9000B"/>
    <w:rsid w:val="00E92627"/>
    <w:rsid w:val="00E97049"/>
    <w:rsid w:val="00EA4B8C"/>
    <w:rsid w:val="00EB4331"/>
    <w:rsid w:val="00EC08DD"/>
    <w:rsid w:val="00EC1E34"/>
    <w:rsid w:val="00EE1837"/>
    <w:rsid w:val="00EE19FF"/>
    <w:rsid w:val="00EE2F55"/>
    <w:rsid w:val="00EE6936"/>
    <w:rsid w:val="00EE7A8E"/>
    <w:rsid w:val="00EF267B"/>
    <w:rsid w:val="00EF7DE2"/>
    <w:rsid w:val="00F0240C"/>
    <w:rsid w:val="00F11073"/>
    <w:rsid w:val="00F12810"/>
    <w:rsid w:val="00F16B7C"/>
    <w:rsid w:val="00F221F9"/>
    <w:rsid w:val="00F22BCC"/>
    <w:rsid w:val="00F30381"/>
    <w:rsid w:val="00F339E0"/>
    <w:rsid w:val="00F34726"/>
    <w:rsid w:val="00F34E55"/>
    <w:rsid w:val="00F354F6"/>
    <w:rsid w:val="00F3708B"/>
    <w:rsid w:val="00F401D2"/>
    <w:rsid w:val="00F42F03"/>
    <w:rsid w:val="00F435C2"/>
    <w:rsid w:val="00F4493B"/>
    <w:rsid w:val="00F46D1C"/>
    <w:rsid w:val="00F50CE0"/>
    <w:rsid w:val="00F53D48"/>
    <w:rsid w:val="00F635C6"/>
    <w:rsid w:val="00F67A3E"/>
    <w:rsid w:val="00F704F5"/>
    <w:rsid w:val="00F75F56"/>
    <w:rsid w:val="00F77BF4"/>
    <w:rsid w:val="00F808F2"/>
    <w:rsid w:val="00F91EC6"/>
    <w:rsid w:val="00F93C1D"/>
    <w:rsid w:val="00F947CA"/>
    <w:rsid w:val="00FA2E8F"/>
    <w:rsid w:val="00FA67A2"/>
    <w:rsid w:val="00FB1791"/>
    <w:rsid w:val="00FC1242"/>
    <w:rsid w:val="00FC239B"/>
    <w:rsid w:val="00FC7E87"/>
    <w:rsid w:val="00FD25E3"/>
    <w:rsid w:val="00FE17B2"/>
    <w:rsid w:val="00FE2DC9"/>
    <w:rsid w:val="00FE72A4"/>
    <w:rsid w:val="00FF33B2"/>
    <w:rsid w:val="00FF68F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C25ACC"/>
    <w:pPr>
      <w:bidi/>
      <w:jc w:val="center"/>
    </w:pPr>
    <w:rPr>
      <w:rFonts w:ascii="IranNastaliq" w:hAnsi="IranNastaliq" w:cs="B Nazanin"/>
      <w:sz w:val="26"/>
      <w:szCs w:val="26"/>
      <w:lang w:val="en-GB" w:eastAsia="en-GB"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D3C4E"/>
    <w:pPr>
      <w:tabs>
        <w:tab w:val="center" w:pos="4320"/>
        <w:tab w:val="right" w:pos="8640"/>
      </w:tabs>
    </w:pPr>
  </w:style>
  <w:style w:type="table" w:styleId="TableGrid">
    <w:name w:val="Table Grid"/>
    <w:basedOn w:val="TableNormal"/>
    <w:uiPriority w:val="59"/>
    <w:rsid w:val="006D3C4E"/>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F11073"/>
    <w:pPr>
      <w:tabs>
        <w:tab w:val="center" w:pos="4320"/>
        <w:tab w:val="right" w:pos="8640"/>
      </w:tabs>
    </w:pPr>
  </w:style>
  <w:style w:type="character" w:styleId="PageNumber">
    <w:name w:val="page number"/>
    <w:basedOn w:val="DefaultParagraphFont"/>
    <w:rsid w:val="00CC3EB3"/>
  </w:style>
  <w:style w:type="paragraph" w:styleId="Caption">
    <w:name w:val="caption"/>
    <w:basedOn w:val="Normal"/>
    <w:next w:val="Normal"/>
    <w:qFormat/>
    <w:rsid w:val="00824DC6"/>
    <w:rPr>
      <w:rFonts w:ascii="Times New Roman" w:hAnsi="Times New Roman"/>
      <w:b/>
      <w:bCs/>
      <w:sz w:val="20"/>
      <w:szCs w:val="20"/>
      <w:lang w:val="en-US" w:eastAsia="en-US"/>
    </w:rPr>
  </w:style>
  <w:style w:type="paragraph" w:styleId="ListParagraph">
    <w:name w:val="List Paragraph"/>
    <w:basedOn w:val="Normal"/>
    <w:uiPriority w:val="34"/>
    <w:qFormat/>
    <w:rsid w:val="00533F73"/>
    <w:pPr>
      <w:ind w:left="720"/>
      <w:contextualSpacing/>
    </w:pPr>
    <w:rPr>
      <w:rFonts w:ascii="Times New Roman" w:hAnsi="Times New Roman"/>
      <w:sz w:val="24"/>
      <w:lang w:val="en-US" w:eastAsia="en-US"/>
    </w:rPr>
  </w:style>
  <w:style w:type="paragraph" w:styleId="BalloonText">
    <w:name w:val="Balloon Text"/>
    <w:basedOn w:val="Normal"/>
    <w:link w:val="BalloonTextChar"/>
    <w:uiPriority w:val="99"/>
    <w:semiHidden/>
    <w:unhideWhenUsed/>
    <w:rsid w:val="00AA19CC"/>
    <w:rPr>
      <w:rFonts w:ascii="Tahoma" w:hAnsi="Tahoma" w:cs="Tahoma"/>
      <w:sz w:val="16"/>
      <w:szCs w:val="16"/>
    </w:rPr>
  </w:style>
  <w:style w:type="character" w:customStyle="1" w:styleId="BalloonTextChar">
    <w:name w:val="Balloon Text Char"/>
    <w:basedOn w:val="DefaultParagraphFont"/>
    <w:link w:val="BalloonText"/>
    <w:uiPriority w:val="99"/>
    <w:semiHidden/>
    <w:rsid w:val="00AA19CC"/>
    <w:rPr>
      <w:rFonts w:ascii="Tahoma" w:hAnsi="Tahoma" w:cs="Tahoma"/>
      <w:sz w:val="16"/>
      <w:szCs w:val="16"/>
      <w:lang w:val="en-GB" w:eastAsia="en-GB" w:bidi="ar-SA"/>
    </w:rPr>
  </w:style>
  <w:style w:type="character" w:styleId="Hyperlink">
    <w:name w:val="Hyperlink"/>
    <w:basedOn w:val="DefaultParagraphFont"/>
    <w:uiPriority w:val="99"/>
    <w:unhideWhenUsed/>
    <w:rsid w:val="007512A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6104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57D16C-58BE-4CA7-911C-14E79DE20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3</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TSEco</Company>
  <LinksUpToDate>false</LinksUpToDate>
  <CharactersWithSpaces>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Majid Noroozi</dc:creator>
  <cp:keywords/>
  <cp:lastModifiedBy>sharareh alipour</cp:lastModifiedBy>
  <cp:revision>105</cp:revision>
  <cp:lastPrinted>2012-08-26T07:39:00Z</cp:lastPrinted>
  <dcterms:created xsi:type="dcterms:W3CDTF">2011-09-26T06:49:00Z</dcterms:created>
  <dcterms:modified xsi:type="dcterms:W3CDTF">2013-10-28T12:55:00Z</dcterms:modified>
</cp:coreProperties>
</file>